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60B5F">
      <w:pPr>
        <w:kinsoku w:val="0"/>
        <w:overflowPunct w:val="0"/>
        <w:spacing w:line="560" w:lineRule="exact"/>
        <w:jc w:val="center"/>
        <w:rPr>
          <w:rFonts w:hint="eastAsia" w:ascii="方正小标宋简体" w:hAnsi="方正小标宋简体" w:eastAsia="方正小标宋简体" w:cs="方正小标宋简体"/>
          <w:b w:val="0"/>
          <w:bCs w:val="0"/>
          <w:kern w:val="2"/>
          <w:sz w:val="44"/>
          <w:szCs w:val="44"/>
        </w:rPr>
      </w:pPr>
      <w:bookmarkStart w:id="0" w:name="_Toc151901871"/>
      <w:bookmarkStart w:id="1" w:name="_Toc109030018"/>
      <w:r>
        <w:rPr>
          <w:rFonts w:hint="eastAsia" w:ascii="方正小标宋简体" w:hAnsi="方正小标宋简体" w:eastAsia="方正小标宋简体" w:cs="方正小标宋简体"/>
          <w:b w:val="0"/>
          <w:bCs w:val="0"/>
          <w:kern w:val="2"/>
          <w:sz w:val="44"/>
          <w:szCs w:val="44"/>
          <w:lang w:val="en-US" w:eastAsia="zh-CN"/>
        </w:rPr>
        <w:t>网络安全和密码资源相关产品采购项目合同</w:t>
      </w:r>
      <w:bookmarkEnd w:id="0"/>
      <w:bookmarkEnd w:id="1"/>
    </w:p>
    <w:p w14:paraId="54CD0A32">
      <w:pPr>
        <w:kinsoku w:val="0"/>
        <w:overflowPunct w:val="0"/>
        <w:spacing w:line="560" w:lineRule="exact"/>
        <w:jc w:val="center"/>
        <w:rPr>
          <w:rFonts w:hint="eastAsia" w:ascii="仿宋_GB2312" w:hAnsi="仿宋_GB2312" w:eastAsia="仿宋_GB2312" w:cs="仿宋_GB2312"/>
          <w:b w:val="0"/>
          <w:bCs w:val="0"/>
          <w:kern w:val="2"/>
          <w:sz w:val="32"/>
          <w:szCs w:val="32"/>
        </w:rPr>
      </w:pPr>
    </w:p>
    <w:p w14:paraId="6D92EA6A">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合同编号：[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14:paraId="196D4C38">
      <w:pPr>
        <w:kinsoku w:val="0"/>
        <w:overflowPunct w:val="0"/>
        <w:autoSpaceDE w:val="0"/>
        <w:autoSpaceDN w:val="0"/>
        <w:adjustRightInd w:val="0"/>
        <w:snapToGrid w:val="0"/>
        <w:spacing w:line="560" w:lineRule="exact"/>
        <w:ind w:firstLine="620" w:firstLineChars="200"/>
        <w:textAlignment w:val="baseline"/>
        <w:rPr>
          <w:rFonts w:hint="eastAsia" w:ascii="黑体" w:hAnsi="黑体" w:eastAsia="黑体" w:cs="黑体"/>
          <w:snapToGrid w:val="0"/>
          <w:color w:val="auto"/>
          <w:spacing w:val="-5"/>
          <w:sz w:val="32"/>
          <w:szCs w:val="32"/>
        </w:rPr>
      </w:pPr>
      <w:r>
        <w:rPr>
          <w:rFonts w:hint="eastAsia" w:ascii="黑体" w:hAnsi="黑体" w:eastAsia="黑体" w:cs="黑体"/>
          <w:snapToGrid w:val="0"/>
          <w:spacing w:val="-5"/>
          <w:sz w:val="32"/>
          <w:szCs w:val="32"/>
        </w:rPr>
        <w:t>海口市产业发展投</w:t>
      </w:r>
      <w:r>
        <w:rPr>
          <w:rFonts w:hint="eastAsia" w:ascii="黑体" w:hAnsi="黑体" w:eastAsia="黑体" w:cs="黑体"/>
          <w:snapToGrid w:val="0"/>
          <w:color w:val="auto"/>
          <w:spacing w:val="-5"/>
          <w:sz w:val="32"/>
          <w:szCs w:val="32"/>
        </w:rPr>
        <w:t>资集团有限公司</w:t>
      </w:r>
      <w:r>
        <w:rPr>
          <w:rFonts w:hint="eastAsia" w:ascii="黑体" w:hAnsi="黑体" w:eastAsia="黑体" w:cs="黑体"/>
          <w:color w:val="auto"/>
          <w:sz w:val="32"/>
          <w:szCs w:val="32"/>
        </w:rPr>
        <w:t>（以下简称：甲方）：</w:t>
      </w:r>
    </w:p>
    <w:p w14:paraId="4AE8A3BC">
      <w:pPr>
        <w:kinsoku w:val="0"/>
        <w:overflowPunct w:val="0"/>
        <w:autoSpaceDE w:val="0"/>
        <w:autoSpaceDN w:val="0"/>
        <w:adjustRightInd w:val="0"/>
        <w:snapToGrid w:val="0"/>
        <w:spacing w:line="560" w:lineRule="exact"/>
        <w:ind w:firstLine="620" w:firstLineChars="200"/>
        <w:textAlignment w:val="baseline"/>
        <w:rPr>
          <w:rFonts w:hint="eastAsia" w:ascii="仿宋_GB2312" w:hAnsi="仿宋_GB2312" w:eastAsia="仿宋_GB2312" w:cs="仿宋_GB2312"/>
          <w:snapToGrid w:val="0"/>
          <w:spacing w:val="-5"/>
          <w:sz w:val="32"/>
          <w:szCs w:val="32"/>
          <w:lang w:val="en-US" w:eastAsia="zh-CN"/>
        </w:rPr>
      </w:pPr>
      <w:bookmarkStart w:id="2" w:name="OLE_LINK1"/>
      <w:r>
        <w:rPr>
          <w:rFonts w:hint="eastAsia" w:ascii="仿宋_GB2312" w:hAnsi="仿宋_GB2312" w:eastAsia="仿宋_GB2312" w:cs="仿宋_GB2312"/>
          <w:snapToGrid w:val="0"/>
          <w:spacing w:val="-5"/>
          <w:sz w:val="32"/>
          <w:szCs w:val="32"/>
          <w:lang w:val="en-US" w:eastAsia="zh-CN"/>
        </w:rPr>
        <w:t>统一社会信用代码：</w:t>
      </w:r>
      <w:bookmarkEnd w:id="2"/>
      <w:r>
        <w:rPr>
          <w:rFonts w:hint="eastAsia" w:ascii="仿宋_GB2312" w:hAnsi="仿宋_GB2312" w:eastAsia="仿宋_GB2312" w:cs="仿宋_GB2312"/>
          <w:snapToGrid w:val="0"/>
          <w:spacing w:val="-5"/>
          <w:sz w:val="32"/>
          <w:szCs w:val="32"/>
          <w:lang w:val="en-US" w:eastAsia="zh-CN"/>
        </w:rPr>
        <w:t>91460000MACX5Q1Y1B</w:t>
      </w:r>
    </w:p>
    <w:p w14:paraId="31757A82">
      <w:pPr>
        <w:kinsoku w:val="0"/>
        <w:overflowPunct w:val="0"/>
        <w:autoSpaceDE w:val="0"/>
        <w:autoSpaceDN w:val="0"/>
        <w:adjustRightInd w:val="0"/>
        <w:snapToGrid w:val="0"/>
        <w:spacing w:line="560" w:lineRule="exact"/>
        <w:ind w:firstLine="640" w:firstLineChars="200"/>
        <w:textAlignment w:val="baseline"/>
        <w:rPr>
          <w:rFonts w:hint="eastAsia" w:ascii="仿宋_GB2312" w:hAnsi="仿宋_GB2312" w:eastAsia="仿宋_GB2312" w:cs="仿宋_GB2312"/>
          <w:snapToGrid w:val="0"/>
          <w:spacing w:val="-5"/>
          <w:sz w:val="32"/>
          <w:szCs w:val="32"/>
        </w:rPr>
      </w:pPr>
      <w:bookmarkStart w:id="3" w:name="OLE_LINK3"/>
      <w:r>
        <w:rPr>
          <w:rFonts w:hint="eastAsia" w:ascii="仿宋_GB2312" w:hAnsi="仿宋_GB2312" w:eastAsia="仿宋_GB2312" w:cs="仿宋_GB2312"/>
          <w:sz w:val="32"/>
          <w:szCs w:val="32"/>
        </w:rPr>
        <w:t>经营地址：</w:t>
      </w:r>
      <w:bookmarkEnd w:id="3"/>
      <w:r>
        <w:rPr>
          <w:rFonts w:hint="eastAsia" w:ascii="仿宋_GB2312" w:hAnsi="仿宋_GB2312" w:eastAsia="仿宋_GB2312" w:cs="仿宋_GB2312"/>
          <w:snapToGrid w:val="0"/>
          <w:spacing w:val="-5"/>
          <w:sz w:val="32"/>
          <w:szCs w:val="32"/>
        </w:rPr>
        <w:t>海南省海口市江东新区江东大道202号江东大厦B座3层</w:t>
      </w:r>
    </w:p>
    <w:p w14:paraId="4E5D4BF5">
      <w:pPr>
        <w:kinsoku w:val="0"/>
        <w:overflowPunct w:val="0"/>
        <w:autoSpaceDE w:val="0"/>
        <w:autoSpaceDN w:val="0"/>
        <w:adjustRightInd w:val="0"/>
        <w:snapToGrid w:val="0"/>
        <w:spacing w:line="560" w:lineRule="exact"/>
        <w:ind w:firstLine="620" w:firstLineChars="200"/>
        <w:textAlignment w:val="baseline"/>
        <w:rPr>
          <w:rFonts w:hint="eastAsia" w:ascii="仿宋_GB2312" w:hAnsi="仿宋_GB2312" w:eastAsia="仿宋_GB2312" w:cs="仿宋_GB2312"/>
          <w:snapToGrid w:val="0"/>
          <w:spacing w:val="-5"/>
          <w:sz w:val="32"/>
          <w:szCs w:val="32"/>
        </w:rPr>
      </w:pPr>
      <w:r>
        <w:rPr>
          <w:rFonts w:hint="eastAsia" w:ascii="仿宋_GB2312" w:hAnsi="仿宋_GB2312" w:eastAsia="仿宋_GB2312" w:cs="仿宋_GB2312"/>
          <w:snapToGrid w:val="0"/>
          <w:spacing w:val="-5"/>
          <w:sz w:val="32"/>
          <w:szCs w:val="32"/>
        </w:rPr>
        <w:t>法定代表人：张爱晖</w:t>
      </w:r>
    </w:p>
    <w:p w14:paraId="767360D5">
      <w:pPr>
        <w:kinsoku w:val="0"/>
        <w:overflowPunct w:val="0"/>
        <w:autoSpaceDE w:val="0"/>
        <w:autoSpaceDN w:val="0"/>
        <w:adjustRightInd w:val="0"/>
        <w:snapToGrid w:val="0"/>
        <w:spacing w:line="560" w:lineRule="exact"/>
        <w:ind w:firstLine="640" w:firstLineChars="200"/>
        <w:textAlignment w:val="baseline"/>
        <w:rPr>
          <w:rFonts w:hint="eastAsia" w:ascii="仿宋_GB2312" w:hAnsi="仿宋_GB2312" w:eastAsia="仿宋_GB2312" w:cs="仿宋_GB2312"/>
          <w:snapToGrid/>
          <w:spacing w:val="0"/>
          <w:sz w:val="32"/>
          <w:szCs w:val="32"/>
        </w:rPr>
      </w:pPr>
      <w:r>
        <w:rPr>
          <w:rFonts w:hint="eastAsia" w:ascii="仿宋_GB2312" w:hAnsi="仿宋_GB2312" w:eastAsia="仿宋_GB2312" w:cs="仿宋_GB2312"/>
          <w:snapToGrid/>
          <w:spacing w:val="0"/>
          <w:sz w:val="32"/>
          <w:szCs w:val="32"/>
        </w:rPr>
        <w:t>联系方式：0898-31908512</w:t>
      </w:r>
    </w:p>
    <w:p w14:paraId="1A6F2BB4">
      <w:pPr>
        <w:kinsoku w:val="0"/>
        <w:overflowPunct w:val="0"/>
        <w:autoSpaceDE w:val="0"/>
        <w:autoSpaceDN w:val="0"/>
        <w:adjustRightInd w:val="0"/>
        <w:snapToGrid w:val="0"/>
        <w:spacing w:line="560" w:lineRule="exact"/>
        <w:ind w:firstLine="640" w:firstLineChars="200"/>
        <w:textAlignment w:val="baseline"/>
        <w:rPr>
          <w:rFonts w:hint="eastAsia" w:ascii="仿宋_GB2312" w:hAnsi="仿宋_GB2312" w:eastAsia="仿宋_GB2312" w:cs="仿宋_GB2312"/>
          <w:snapToGrid/>
          <w:spacing w:val="0"/>
          <w:sz w:val="32"/>
          <w:szCs w:val="32"/>
        </w:rPr>
      </w:pPr>
      <w:r>
        <w:rPr>
          <w:rFonts w:hint="eastAsia" w:ascii="仿宋_GB2312" w:hAnsi="仿宋_GB2312" w:eastAsia="仿宋_GB2312" w:cs="仿宋_GB2312"/>
          <w:snapToGrid/>
          <w:spacing w:val="0"/>
          <w:sz w:val="32"/>
          <w:szCs w:val="32"/>
        </w:rPr>
        <w:t>电子邮箱：ctjtzh@126.com</w:t>
      </w:r>
    </w:p>
    <w:p w14:paraId="1E7A4F7D">
      <w:pPr>
        <w:kinsoku w:val="0"/>
        <w:overflowPunct w:val="0"/>
        <w:autoSpaceDE w:val="0"/>
        <w:autoSpaceDN w:val="0"/>
        <w:adjustRightInd w:val="0"/>
        <w:snapToGrid w:val="0"/>
        <w:spacing w:line="560" w:lineRule="exact"/>
        <w:ind w:firstLine="620" w:firstLineChars="200"/>
        <w:textAlignment w:val="baseline"/>
        <w:rPr>
          <w:rFonts w:ascii="仿宋_GB2312" w:hAnsi="仿宋_GB2312" w:eastAsia="仿宋_GB2312" w:cs="仿宋_GB2312"/>
          <w:snapToGrid w:val="0"/>
          <w:spacing w:val="-5"/>
          <w:sz w:val="32"/>
          <w:szCs w:val="32"/>
        </w:rPr>
      </w:pPr>
    </w:p>
    <w:p w14:paraId="03341FC0">
      <w:pPr>
        <w:kinsoku w:val="0"/>
        <w:overflowPunct w:val="0"/>
        <w:autoSpaceDE w:val="0"/>
        <w:autoSpaceDN w:val="0"/>
        <w:adjustRightInd w:val="0"/>
        <w:snapToGrid w:val="0"/>
        <w:spacing w:line="560" w:lineRule="exact"/>
        <w:ind w:firstLine="620" w:firstLineChars="200"/>
        <w:textAlignment w:val="baseline"/>
        <w:rPr>
          <w:rFonts w:ascii="仿宋_GB2312" w:hAnsi="仿宋_GB2312" w:eastAsia="仿宋_GB2312" w:cs="仿宋_GB2312"/>
          <w:snapToGrid w:val="0"/>
          <w:spacing w:val="-5"/>
          <w:sz w:val="32"/>
          <w:szCs w:val="32"/>
        </w:rPr>
      </w:pPr>
    </w:p>
    <w:p w14:paraId="62C671EC">
      <w:pPr>
        <w:tabs>
          <w:tab w:val="left" w:pos="2145"/>
        </w:tabs>
        <w:kinsoku w:val="0"/>
        <w:overflowPunct w:val="0"/>
        <w:autoSpaceDE w:val="0"/>
        <w:autoSpaceDN w:val="0"/>
        <w:adjustRightInd w:val="0"/>
        <w:snapToGrid w:val="0"/>
        <w:spacing w:line="560" w:lineRule="exact"/>
        <w:textAlignment w:val="baseline"/>
        <w:rPr>
          <w:rFonts w:hint="eastAsia" w:ascii="仿宋_GB2312" w:hAnsi="仿宋_GB2312" w:eastAsia="仿宋_GB2312" w:cs="仿宋_GB2312"/>
          <w:snapToGrid w:val="0"/>
          <w:spacing w:val="-5"/>
          <w:sz w:val="32"/>
          <w:szCs w:val="32"/>
          <w:lang w:val="en-US" w:eastAsia="zh-CN"/>
        </w:rPr>
      </w:pPr>
    </w:p>
    <w:p w14:paraId="19ECB45B">
      <w:pPr>
        <w:tabs>
          <w:tab w:val="left" w:pos="2145"/>
        </w:tabs>
        <w:kinsoku w:val="0"/>
        <w:overflowPunct w:val="0"/>
        <w:autoSpaceDE w:val="0"/>
        <w:autoSpaceDN w:val="0"/>
        <w:adjustRightInd w:val="0"/>
        <w:snapToGrid w:val="0"/>
        <w:spacing w:line="560" w:lineRule="exact"/>
        <w:ind w:firstLine="3100" w:firstLineChars="1000"/>
        <w:textAlignment w:val="baseline"/>
        <w:rPr>
          <w:rFonts w:hint="eastAsia" w:ascii="黑体" w:hAnsi="黑体" w:eastAsia="黑体" w:cs="黑体"/>
          <w:snapToGrid w:val="0"/>
          <w:spacing w:val="-5"/>
          <w:sz w:val="32"/>
          <w:szCs w:val="32"/>
          <w:lang w:val="en-US" w:eastAsia="zh-CN"/>
        </w:rPr>
      </w:pPr>
      <w:r>
        <w:rPr>
          <w:rFonts w:hint="eastAsia" w:ascii="仿宋_GB2312" w:hAnsi="仿宋_GB2312" w:eastAsia="仿宋_GB2312" w:cs="仿宋_GB2312"/>
          <w:snapToGrid w:val="0"/>
          <w:spacing w:val="-5"/>
          <w:sz w:val="32"/>
          <w:szCs w:val="32"/>
          <w:lang w:val="en-US" w:eastAsia="zh-CN"/>
        </w:rPr>
        <w:t>（</w:t>
      </w:r>
      <w:r>
        <w:rPr>
          <w:rFonts w:hint="eastAsia" w:ascii="黑体" w:hAnsi="黑体" w:eastAsia="黑体" w:cs="黑体"/>
          <w:snapToGrid w:val="0"/>
          <w:spacing w:val="-5"/>
          <w:sz w:val="32"/>
          <w:szCs w:val="32"/>
        </w:rPr>
        <w:t>以下简称：乙方）：</w:t>
      </w:r>
    </w:p>
    <w:p w14:paraId="5791B85D">
      <w:pPr>
        <w:kinsoku w:val="0"/>
        <w:overflowPunct w:val="0"/>
        <w:autoSpaceDE w:val="0"/>
        <w:autoSpaceDN w:val="0"/>
        <w:adjustRightInd w:val="0"/>
        <w:snapToGrid w:val="0"/>
        <w:spacing w:line="560" w:lineRule="exact"/>
        <w:ind w:firstLine="620" w:firstLineChars="200"/>
        <w:textAlignment w:val="baseline"/>
        <w:rPr>
          <w:rFonts w:hint="default" w:ascii="仿宋_GB2312" w:hAnsi="仿宋_GB2312" w:eastAsia="仿宋_GB2312" w:cs="仿宋_GB2312"/>
          <w:snapToGrid w:val="0"/>
          <w:spacing w:val="-5"/>
          <w:sz w:val="32"/>
          <w:szCs w:val="32"/>
          <w:lang w:val="en-US" w:eastAsia="zh-CN"/>
        </w:rPr>
      </w:pPr>
      <w:r>
        <w:rPr>
          <w:rFonts w:hint="default" w:ascii="仿宋_GB2312" w:hAnsi="仿宋_GB2312" w:eastAsia="仿宋_GB2312" w:cs="仿宋_GB2312"/>
          <w:snapToGrid w:val="0"/>
          <w:spacing w:val="-5"/>
          <w:sz w:val="32"/>
          <w:szCs w:val="32"/>
          <w:lang w:val="en-US" w:eastAsia="zh-CN"/>
        </w:rPr>
        <w:t>统一社会信用代码：</w:t>
      </w:r>
      <w:r>
        <w:rPr>
          <w:rFonts w:hint="eastAsia" w:ascii="仿宋_GB2312" w:hAnsi="仿宋_GB2312" w:eastAsia="仿宋_GB2312" w:cs="仿宋_GB2312"/>
          <w:snapToGrid w:val="0"/>
          <w:spacing w:val="-5"/>
          <w:sz w:val="32"/>
          <w:szCs w:val="32"/>
          <w:lang w:val="en-US" w:eastAsia="zh-CN"/>
        </w:rPr>
        <w:t xml:space="preserve">            </w:t>
      </w:r>
    </w:p>
    <w:p w14:paraId="4817D476">
      <w:pPr>
        <w:kinsoku w:val="0"/>
        <w:overflowPunct w:val="0"/>
        <w:autoSpaceDE w:val="0"/>
        <w:autoSpaceDN w:val="0"/>
        <w:adjustRightInd w:val="0"/>
        <w:snapToGrid w:val="0"/>
        <w:spacing w:line="560" w:lineRule="exact"/>
        <w:ind w:firstLine="640" w:firstLineChars="200"/>
        <w:textAlignment w:val="baseline"/>
        <w:rPr>
          <w:rFonts w:hint="default" w:ascii="仿宋_GB2312" w:hAnsi="仿宋_GB2312" w:eastAsia="仿宋_GB2312" w:cs="仿宋_GB2312"/>
          <w:snapToGrid w:val="0"/>
          <w:spacing w:val="-5"/>
          <w:sz w:val="32"/>
          <w:szCs w:val="32"/>
          <w:lang w:val="en-US" w:eastAsia="zh-CN"/>
        </w:rPr>
      </w:pPr>
      <w:r>
        <w:rPr>
          <w:rFonts w:hint="eastAsia" w:ascii="仿宋_GB2312" w:hAnsi="仿宋_GB2312" w:eastAsia="仿宋_GB2312" w:cs="仿宋_GB2312"/>
          <w:sz w:val="32"/>
          <w:szCs w:val="32"/>
        </w:rPr>
        <w:t>经营地址：</w:t>
      </w:r>
      <w:r>
        <w:rPr>
          <w:rFonts w:hint="eastAsia" w:ascii="仿宋_GB2312" w:hAnsi="仿宋_GB2312" w:eastAsia="仿宋_GB2312" w:cs="仿宋_GB2312"/>
          <w:sz w:val="32"/>
          <w:szCs w:val="32"/>
          <w:lang w:val="en-US" w:eastAsia="zh-CN"/>
        </w:rPr>
        <w:t xml:space="preserve">               </w:t>
      </w:r>
    </w:p>
    <w:p w14:paraId="52940437">
      <w:pPr>
        <w:kinsoku w:val="0"/>
        <w:overflowPunct w:val="0"/>
        <w:autoSpaceDE w:val="0"/>
        <w:autoSpaceDN w:val="0"/>
        <w:adjustRightInd w:val="0"/>
        <w:snapToGrid w:val="0"/>
        <w:spacing w:line="560" w:lineRule="exact"/>
        <w:ind w:firstLine="620" w:firstLineChars="200"/>
        <w:textAlignment w:val="baseline"/>
        <w:rPr>
          <w:rFonts w:hint="default" w:ascii="仿宋_GB2312" w:hAnsi="仿宋_GB2312" w:eastAsia="仿宋_GB2312" w:cs="仿宋_GB2312"/>
          <w:snapToGrid w:val="0"/>
          <w:spacing w:val="-5"/>
          <w:sz w:val="32"/>
          <w:szCs w:val="32"/>
          <w:lang w:val="en-US" w:eastAsia="zh-CN"/>
        </w:rPr>
      </w:pPr>
      <w:r>
        <w:rPr>
          <w:rFonts w:hint="eastAsia" w:ascii="仿宋_GB2312" w:hAnsi="仿宋_GB2312" w:eastAsia="仿宋_GB2312" w:cs="仿宋_GB2312"/>
          <w:snapToGrid w:val="0"/>
          <w:spacing w:val="-5"/>
          <w:sz w:val="32"/>
          <w:szCs w:val="32"/>
        </w:rPr>
        <w:t>法定代表人：</w:t>
      </w:r>
      <w:r>
        <w:rPr>
          <w:rFonts w:hint="eastAsia" w:ascii="仿宋_GB2312" w:hAnsi="仿宋_GB2312" w:eastAsia="仿宋_GB2312" w:cs="仿宋_GB2312"/>
          <w:snapToGrid w:val="0"/>
          <w:spacing w:val="-5"/>
          <w:sz w:val="32"/>
          <w:szCs w:val="32"/>
          <w:lang w:val="en-US" w:eastAsia="zh-CN"/>
        </w:rPr>
        <w:t xml:space="preserve">       </w:t>
      </w:r>
    </w:p>
    <w:p w14:paraId="3282FA31">
      <w:pPr>
        <w:kinsoku w:val="0"/>
        <w:overflowPunct w:val="0"/>
        <w:autoSpaceDE w:val="0"/>
        <w:autoSpaceDN w:val="0"/>
        <w:adjustRightInd w:val="0"/>
        <w:snapToGrid w:val="0"/>
        <w:spacing w:line="560" w:lineRule="exact"/>
        <w:ind w:firstLine="620" w:firstLineChars="200"/>
        <w:textAlignment w:val="baseline"/>
        <w:rPr>
          <w:rFonts w:hint="eastAsia" w:ascii="仿宋_GB2312" w:hAnsi="仿宋_GB2312" w:eastAsia="仿宋_GB2312" w:cs="仿宋_GB2312"/>
          <w:snapToGrid w:val="0"/>
          <w:spacing w:val="-5"/>
          <w:sz w:val="32"/>
          <w:szCs w:val="32"/>
          <w:lang w:val="en-US" w:eastAsia="zh-CN"/>
        </w:rPr>
      </w:pPr>
      <w:r>
        <w:rPr>
          <w:rFonts w:hint="default" w:ascii="仿宋_GB2312" w:hAnsi="仿宋_GB2312" w:eastAsia="仿宋_GB2312" w:cs="仿宋_GB2312"/>
          <w:snapToGrid w:val="0"/>
          <w:spacing w:val="-5"/>
          <w:sz w:val="32"/>
          <w:szCs w:val="32"/>
        </w:rPr>
        <w:t>联系方式：</w:t>
      </w:r>
      <w:r>
        <w:rPr>
          <w:rFonts w:hint="eastAsia" w:ascii="仿宋_GB2312" w:hAnsi="仿宋_GB2312" w:eastAsia="仿宋_GB2312" w:cs="仿宋_GB2312"/>
          <w:snapToGrid w:val="0"/>
          <w:spacing w:val="-5"/>
          <w:sz w:val="32"/>
          <w:szCs w:val="32"/>
          <w:lang w:val="en-US" w:eastAsia="zh-CN"/>
        </w:rPr>
        <w:t xml:space="preserve">          </w:t>
      </w:r>
    </w:p>
    <w:p w14:paraId="277750BC">
      <w:pPr>
        <w:kinsoku w:val="0"/>
        <w:overflowPunct w:val="0"/>
        <w:autoSpaceDE w:val="0"/>
        <w:autoSpaceDN w:val="0"/>
        <w:adjustRightInd w:val="0"/>
        <w:snapToGrid w:val="0"/>
        <w:spacing w:line="560" w:lineRule="exact"/>
        <w:ind w:firstLine="620" w:firstLineChars="200"/>
        <w:textAlignment w:val="baseline"/>
        <w:rPr>
          <w:rFonts w:hint="default" w:ascii="仿宋_GB2312" w:hAnsi="仿宋_GB2312" w:eastAsia="仿宋_GB2312" w:cs="仿宋_GB2312"/>
          <w:snapToGrid w:val="0"/>
          <w:spacing w:val="-5"/>
          <w:sz w:val="32"/>
          <w:szCs w:val="32"/>
          <w:lang w:val="en-US" w:eastAsia="zh-CN"/>
        </w:rPr>
      </w:pPr>
      <w:r>
        <w:rPr>
          <w:rFonts w:hint="default" w:ascii="仿宋_GB2312" w:hAnsi="仿宋_GB2312" w:eastAsia="仿宋_GB2312" w:cs="仿宋_GB2312"/>
          <w:snapToGrid w:val="0"/>
          <w:spacing w:val="-5"/>
          <w:sz w:val="32"/>
          <w:szCs w:val="32"/>
        </w:rPr>
        <w:t xml:space="preserve">电子邮箱： </w:t>
      </w:r>
      <w:r>
        <w:rPr>
          <w:rFonts w:hint="eastAsia" w:ascii="仿宋_GB2312" w:hAnsi="仿宋_GB2312" w:eastAsia="仿宋_GB2312" w:cs="仿宋_GB2312"/>
          <w:snapToGrid w:val="0"/>
          <w:spacing w:val="-5"/>
          <w:sz w:val="32"/>
          <w:szCs w:val="32"/>
          <w:lang w:val="en-US" w:eastAsia="zh-CN"/>
        </w:rPr>
        <w:t xml:space="preserve">        </w:t>
      </w:r>
    </w:p>
    <w:p w14:paraId="16C9506C">
      <w:pPr>
        <w:kinsoku w:val="0"/>
        <w:overflowPunct w:val="0"/>
        <w:autoSpaceDE w:val="0"/>
        <w:autoSpaceDN w:val="0"/>
        <w:adjustRightInd w:val="0"/>
        <w:snapToGrid w:val="0"/>
        <w:spacing w:line="560" w:lineRule="exact"/>
        <w:ind w:firstLine="620" w:firstLineChars="200"/>
        <w:textAlignment w:val="baseline"/>
        <w:rPr>
          <w:rFonts w:hint="eastAsia" w:ascii="仿宋_GB2312" w:hAnsi="仿宋_GB2312" w:eastAsia="仿宋_GB2312" w:cs="仿宋_GB2312"/>
          <w:snapToGrid w:val="0"/>
          <w:spacing w:val="-5"/>
          <w:sz w:val="32"/>
          <w:szCs w:val="32"/>
        </w:rPr>
      </w:pPr>
    </w:p>
    <w:p w14:paraId="604712A7">
      <w:pPr>
        <w:kinsoku w:val="0"/>
        <w:overflowPunct w:val="0"/>
        <w:autoSpaceDE w:val="0"/>
        <w:autoSpaceDN w:val="0"/>
        <w:adjustRightInd w:val="0"/>
        <w:snapToGrid w:val="0"/>
        <w:spacing w:line="560" w:lineRule="exact"/>
        <w:ind w:firstLine="620" w:firstLineChars="200"/>
        <w:textAlignment w:val="baseline"/>
        <w:rPr>
          <w:rFonts w:hint="eastAsia" w:ascii="仿宋_GB2312" w:hAnsi="仿宋_GB2312" w:eastAsia="仿宋_GB2312" w:cs="仿宋_GB2312"/>
          <w:snapToGrid w:val="0"/>
          <w:spacing w:val="-5"/>
          <w:sz w:val="32"/>
          <w:szCs w:val="32"/>
        </w:rPr>
      </w:pPr>
    </w:p>
    <w:p w14:paraId="6DBAC9F1">
      <w:pPr>
        <w:kinsoku w:val="0"/>
        <w:overflowPunct w:val="0"/>
        <w:autoSpaceDE w:val="0"/>
        <w:autoSpaceDN w:val="0"/>
        <w:adjustRightInd w:val="0"/>
        <w:snapToGrid w:val="0"/>
        <w:spacing w:line="560" w:lineRule="exact"/>
        <w:ind w:firstLine="620" w:firstLineChars="200"/>
        <w:textAlignment w:val="baseline"/>
        <w:rPr>
          <w:rFonts w:hint="eastAsia" w:ascii="仿宋_GB2312" w:hAnsi="仿宋_GB2312" w:eastAsia="仿宋_GB2312" w:cs="仿宋_GB2312"/>
          <w:snapToGrid w:val="0"/>
          <w:spacing w:val="-5"/>
          <w:sz w:val="32"/>
          <w:szCs w:val="32"/>
        </w:rPr>
      </w:pPr>
    </w:p>
    <w:p w14:paraId="07C9C4A0">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根据《中华人民共和国民法典》及相关法律法规，甲</w:t>
      </w:r>
      <w:r>
        <w:rPr>
          <w:rFonts w:hint="eastAsia" w:ascii="仿宋_GB2312" w:hAnsi="仿宋_GB2312" w:eastAsia="仿宋_GB2312" w:cs="仿宋_GB2312"/>
          <w:snapToGrid w:val="0"/>
          <w:spacing w:val="-5"/>
          <w:sz w:val="32"/>
          <w:szCs w:val="32"/>
        </w:rPr>
        <w:t>乙双方在平等自愿、诚实信用的基础上，就</w:t>
      </w:r>
      <w:r>
        <w:rPr>
          <w:rFonts w:hint="eastAsia" w:ascii="仿宋_GB2312" w:hAnsi="仿宋_GB2312" w:eastAsia="仿宋_GB2312" w:cs="仿宋_GB2312"/>
          <w:snapToGrid w:val="0"/>
          <w:spacing w:val="-5"/>
          <w:sz w:val="32"/>
          <w:szCs w:val="32"/>
          <w:u w:val="single"/>
        </w:rPr>
        <w:t>海口市产业发展投资集团有限公司网络安全和密码资源相关产品采购项目</w:t>
      </w:r>
      <w:r>
        <w:rPr>
          <w:rFonts w:hint="eastAsia" w:ascii="仿宋_GB2312" w:hAnsi="仿宋_GB2312" w:eastAsia="仿宋_GB2312" w:cs="仿宋_GB2312"/>
          <w:snapToGrid w:val="0"/>
          <w:spacing w:val="-5"/>
          <w:sz w:val="32"/>
          <w:szCs w:val="32"/>
          <w:u w:val="single"/>
          <w:lang w:val="en-US" w:eastAsia="zh-CN"/>
        </w:rPr>
        <w:t>项目</w:t>
      </w:r>
      <w:r>
        <w:rPr>
          <w:rFonts w:hint="eastAsia" w:ascii="仿宋_GB2312" w:hAnsi="仿宋" w:eastAsia="仿宋_GB2312" w:cs="仿宋"/>
          <w:kern w:val="2"/>
          <w:sz w:val="32"/>
          <w:szCs w:val="32"/>
        </w:rPr>
        <w:t>达成一致，签订本合同，以资共同遵守。</w:t>
      </w:r>
    </w:p>
    <w:p w14:paraId="4D8CFB28">
      <w:pPr>
        <w:keepNext w:val="0"/>
        <w:keepLines w:val="0"/>
        <w:pageBreakBefore w:val="0"/>
        <w:widowControl w:val="0"/>
        <w:numPr>
          <w:ilvl w:val="255"/>
          <w:numId w:val="0"/>
        </w:numPr>
        <w:kinsoku w:val="0"/>
        <w:wordWrap/>
        <w:overflowPunct w:val="0"/>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shd w:val="clear" w:color="auto" w:fill="FFFFFF"/>
          <w:lang w:bidi="ar"/>
        </w:rPr>
      </w:pPr>
      <w:r>
        <w:rPr>
          <w:rFonts w:hint="eastAsia" w:ascii="黑体" w:hAnsi="黑体" w:eastAsia="黑体" w:cs="黑体"/>
          <w:sz w:val="32"/>
          <w:szCs w:val="32"/>
          <w:shd w:val="clear" w:color="auto" w:fill="FFFFFF"/>
          <w:lang w:bidi="ar"/>
        </w:rPr>
        <w:t>一、</w:t>
      </w:r>
      <w:r>
        <w:rPr>
          <w:rFonts w:hint="eastAsia" w:ascii="黑体" w:hAnsi="黑体" w:eastAsia="黑体" w:cs="黑体"/>
          <w:sz w:val="32"/>
          <w:szCs w:val="32"/>
          <w:shd w:val="clear" w:color="auto" w:fill="FFFFFF"/>
          <w:lang w:eastAsia="zh-CN" w:bidi="ar"/>
        </w:rPr>
        <w:t>标的、数量</w:t>
      </w:r>
    </w:p>
    <w:tbl>
      <w:tblPr>
        <w:tblStyle w:val="12"/>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1385"/>
        <w:gridCol w:w="1067"/>
        <w:gridCol w:w="2101"/>
        <w:gridCol w:w="2137"/>
      </w:tblGrid>
      <w:tr w14:paraId="2E0C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tcPr>
          <w:p w14:paraId="0842F499">
            <w:pPr>
              <w:spacing w:line="560" w:lineRule="exact"/>
              <w:jc w:val="center"/>
              <w:rPr>
                <w:rFonts w:ascii="黑体" w:hAnsi="黑体" w:eastAsia="黑体" w:cs="黑体"/>
                <w:kern w:val="2"/>
                <w:sz w:val="32"/>
                <w:szCs w:val="32"/>
              </w:rPr>
            </w:pPr>
            <w:r>
              <w:rPr>
                <w:rFonts w:hint="eastAsia" w:ascii="黑体" w:hAnsi="黑体" w:eastAsia="黑体" w:cs="黑体"/>
                <w:kern w:val="2"/>
                <w:sz w:val="32"/>
                <w:szCs w:val="32"/>
              </w:rPr>
              <w:t>名称</w:t>
            </w:r>
          </w:p>
        </w:tc>
        <w:tc>
          <w:tcPr>
            <w:tcW w:w="1385" w:type="dxa"/>
          </w:tcPr>
          <w:p w14:paraId="56FCD9A4">
            <w:pPr>
              <w:spacing w:line="560" w:lineRule="exact"/>
              <w:jc w:val="center"/>
              <w:rPr>
                <w:rFonts w:ascii="黑体" w:hAnsi="黑体" w:eastAsia="黑体" w:cs="黑体"/>
                <w:kern w:val="2"/>
                <w:sz w:val="32"/>
                <w:szCs w:val="32"/>
              </w:rPr>
            </w:pPr>
            <w:r>
              <w:rPr>
                <w:rFonts w:hint="eastAsia" w:ascii="黑体" w:hAnsi="黑体" w:eastAsia="黑体" w:cs="黑体"/>
                <w:kern w:val="2"/>
                <w:sz w:val="32"/>
                <w:szCs w:val="32"/>
              </w:rPr>
              <w:t>单位</w:t>
            </w:r>
          </w:p>
        </w:tc>
        <w:tc>
          <w:tcPr>
            <w:tcW w:w="1067" w:type="dxa"/>
          </w:tcPr>
          <w:p w14:paraId="457EB12B">
            <w:pPr>
              <w:spacing w:line="560" w:lineRule="exact"/>
              <w:jc w:val="center"/>
              <w:rPr>
                <w:rFonts w:ascii="黑体" w:hAnsi="黑体" w:eastAsia="黑体" w:cs="黑体"/>
                <w:kern w:val="2"/>
                <w:sz w:val="32"/>
                <w:szCs w:val="32"/>
              </w:rPr>
            </w:pPr>
            <w:r>
              <w:rPr>
                <w:rFonts w:hint="eastAsia" w:ascii="黑体" w:hAnsi="黑体" w:eastAsia="黑体" w:cs="黑体"/>
                <w:kern w:val="2"/>
                <w:sz w:val="32"/>
                <w:szCs w:val="32"/>
              </w:rPr>
              <w:t>数量</w:t>
            </w:r>
          </w:p>
        </w:tc>
        <w:tc>
          <w:tcPr>
            <w:tcW w:w="2101" w:type="dxa"/>
          </w:tcPr>
          <w:p w14:paraId="28F1B62F">
            <w:pPr>
              <w:spacing w:line="560" w:lineRule="exact"/>
              <w:jc w:val="center"/>
              <w:rPr>
                <w:rFonts w:ascii="黑体" w:hAnsi="黑体" w:eastAsia="黑体" w:cs="黑体"/>
                <w:kern w:val="2"/>
                <w:sz w:val="32"/>
                <w:szCs w:val="32"/>
              </w:rPr>
            </w:pPr>
            <w:r>
              <w:rPr>
                <w:rFonts w:hint="eastAsia" w:ascii="黑体" w:hAnsi="黑体" w:eastAsia="黑体" w:cs="黑体"/>
                <w:kern w:val="2"/>
                <w:sz w:val="32"/>
                <w:szCs w:val="32"/>
                <w:lang w:eastAsia="zh-CN"/>
              </w:rPr>
              <w:t>含税</w:t>
            </w:r>
            <w:r>
              <w:rPr>
                <w:rFonts w:hint="eastAsia" w:ascii="黑体" w:hAnsi="黑体" w:eastAsia="黑体" w:cs="黑体"/>
                <w:kern w:val="2"/>
                <w:sz w:val="32"/>
                <w:szCs w:val="32"/>
              </w:rPr>
              <w:t>单价（元）</w:t>
            </w:r>
          </w:p>
        </w:tc>
        <w:tc>
          <w:tcPr>
            <w:tcW w:w="2137" w:type="dxa"/>
          </w:tcPr>
          <w:p w14:paraId="0B89DEC1">
            <w:pPr>
              <w:spacing w:line="560" w:lineRule="exact"/>
              <w:jc w:val="center"/>
              <w:rPr>
                <w:rFonts w:ascii="黑体" w:hAnsi="黑体" w:eastAsia="黑体" w:cs="黑体"/>
                <w:kern w:val="2"/>
                <w:sz w:val="32"/>
                <w:szCs w:val="32"/>
              </w:rPr>
            </w:pPr>
            <w:r>
              <w:rPr>
                <w:rFonts w:hint="eastAsia" w:ascii="黑体" w:hAnsi="黑体" w:eastAsia="黑体" w:cs="黑体"/>
                <w:kern w:val="2"/>
                <w:sz w:val="32"/>
                <w:szCs w:val="32"/>
                <w:lang w:eastAsia="zh-CN"/>
              </w:rPr>
              <w:t>含税</w:t>
            </w:r>
            <w:r>
              <w:rPr>
                <w:rFonts w:hint="eastAsia" w:ascii="黑体" w:hAnsi="黑体" w:eastAsia="黑体" w:cs="黑体"/>
                <w:kern w:val="2"/>
                <w:sz w:val="32"/>
                <w:szCs w:val="32"/>
              </w:rPr>
              <w:t>总价（元）</w:t>
            </w:r>
          </w:p>
        </w:tc>
      </w:tr>
      <w:tr w14:paraId="37F9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365" w:type="dxa"/>
            <w:vAlign w:val="center"/>
          </w:tcPr>
          <w:p w14:paraId="2F75FBDE">
            <w:pPr>
              <w:widowControl/>
              <w:jc w:val="center"/>
              <w:textAlignment w:val="center"/>
              <w:rPr>
                <w:rFonts w:hint="eastAsia" w:ascii="仿宋_GB2312" w:hAnsi="仿宋_GB2312" w:eastAsia="仿宋_GB2312" w:cs="仿宋_GB2312"/>
                <w:sz w:val="32"/>
                <w:szCs w:val="32"/>
              </w:rPr>
            </w:pPr>
          </w:p>
        </w:tc>
        <w:tc>
          <w:tcPr>
            <w:tcW w:w="1385" w:type="dxa"/>
          </w:tcPr>
          <w:p w14:paraId="5F97D168">
            <w:pPr>
              <w:spacing w:line="560" w:lineRule="exact"/>
              <w:jc w:val="center"/>
              <w:rPr>
                <w:rFonts w:hint="eastAsia" w:ascii="仿宋_GB2312" w:hAnsi="仿宋_GB2312" w:eastAsia="仿宋_GB2312" w:cs="仿宋_GB2312"/>
                <w:color w:val="auto"/>
                <w:kern w:val="2"/>
                <w:sz w:val="32"/>
                <w:szCs w:val="32"/>
              </w:rPr>
            </w:pPr>
          </w:p>
        </w:tc>
        <w:tc>
          <w:tcPr>
            <w:tcW w:w="1067" w:type="dxa"/>
          </w:tcPr>
          <w:p w14:paraId="79658930">
            <w:pPr>
              <w:spacing w:line="560" w:lineRule="exact"/>
              <w:rPr>
                <w:rFonts w:hint="eastAsia" w:ascii="仿宋_GB2312" w:hAnsi="仿宋_GB2312" w:eastAsia="仿宋_GB2312" w:cs="仿宋_GB2312"/>
                <w:color w:val="auto"/>
                <w:kern w:val="2"/>
                <w:sz w:val="32"/>
                <w:szCs w:val="32"/>
                <w:lang w:val="en-US" w:eastAsia="zh-CN"/>
              </w:rPr>
            </w:pPr>
          </w:p>
        </w:tc>
        <w:tc>
          <w:tcPr>
            <w:tcW w:w="2101" w:type="dxa"/>
          </w:tcPr>
          <w:p w14:paraId="09E9C27F">
            <w:pPr>
              <w:spacing w:line="560" w:lineRule="exact"/>
              <w:rPr>
                <w:rFonts w:hint="eastAsia" w:ascii="仿宋_GB2312" w:hAnsi="仿宋_GB2312" w:eastAsia="仿宋_GB2312" w:cs="仿宋_GB2312"/>
                <w:color w:val="auto"/>
                <w:kern w:val="2"/>
                <w:sz w:val="32"/>
                <w:szCs w:val="32"/>
                <w:lang w:val="en-US" w:eastAsia="zh-CN"/>
              </w:rPr>
            </w:pPr>
          </w:p>
        </w:tc>
        <w:tc>
          <w:tcPr>
            <w:tcW w:w="2137" w:type="dxa"/>
          </w:tcPr>
          <w:p w14:paraId="041CBADE">
            <w:pPr>
              <w:spacing w:line="560" w:lineRule="exact"/>
              <w:rPr>
                <w:rFonts w:hint="eastAsia" w:ascii="仿宋_GB2312" w:hAnsi="仿宋_GB2312" w:eastAsia="仿宋_GB2312" w:cs="仿宋_GB2312"/>
                <w:color w:val="auto"/>
                <w:kern w:val="2"/>
                <w:sz w:val="32"/>
                <w:szCs w:val="32"/>
                <w:lang w:val="en-US" w:eastAsia="zh-CN"/>
              </w:rPr>
            </w:pPr>
          </w:p>
        </w:tc>
      </w:tr>
      <w:tr w14:paraId="6AF8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center"/>
          </w:tcPr>
          <w:p w14:paraId="057BCA8F">
            <w:pPr>
              <w:widowControl/>
              <w:jc w:val="center"/>
              <w:textAlignment w:val="center"/>
              <w:rPr>
                <w:rFonts w:hint="eastAsia" w:ascii="仿宋_GB2312" w:hAnsi="仿宋_GB2312" w:eastAsia="仿宋_GB2312" w:cs="仿宋_GB2312"/>
                <w:sz w:val="32"/>
                <w:szCs w:val="32"/>
              </w:rPr>
            </w:pPr>
          </w:p>
        </w:tc>
        <w:tc>
          <w:tcPr>
            <w:tcW w:w="1385" w:type="dxa"/>
          </w:tcPr>
          <w:p w14:paraId="04610AE6">
            <w:pPr>
              <w:spacing w:line="560" w:lineRule="exact"/>
              <w:jc w:val="center"/>
              <w:rPr>
                <w:rFonts w:hint="eastAsia" w:ascii="仿宋_GB2312" w:hAnsi="仿宋_GB2312" w:eastAsia="仿宋_GB2312" w:cs="仿宋_GB2312"/>
                <w:color w:val="auto"/>
                <w:kern w:val="2"/>
                <w:sz w:val="32"/>
                <w:szCs w:val="32"/>
              </w:rPr>
            </w:pPr>
          </w:p>
        </w:tc>
        <w:tc>
          <w:tcPr>
            <w:tcW w:w="1067" w:type="dxa"/>
          </w:tcPr>
          <w:p w14:paraId="001677D3">
            <w:pPr>
              <w:spacing w:line="560" w:lineRule="exact"/>
              <w:rPr>
                <w:rFonts w:hint="eastAsia" w:ascii="仿宋_GB2312" w:hAnsi="仿宋_GB2312" w:eastAsia="仿宋_GB2312" w:cs="仿宋_GB2312"/>
                <w:color w:val="auto"/>
                <w:kern w:val="2"/>
                <w:sz w:val="32"/>
                <w:szCs w:val="32"/>
                <w:lang w:val="en-US" w:eastAsia="zh-CN"/>
              </w:rPr>
            </w:pPr>
          </w:p>
        </w:tc>
        <w:tc>
          <w:tcPr>
            <w:tcW w:w="2101" w:type="dxa"/>
          </w:tcPr>
          <w:p w14:paraId="2535FBEE">
            <w:pPr>
              <w:spacing w:line="560" w:lineRule="exact"/>
              <w:rPr>
                <w:rFonts w:hint="eastAsia" w:ascii="仿宋_GB2312" w:hAnsi="仿宋_GB2312" w:eastAsia="仿宋_GB2312" w:cs="仿宋_GB2312"/>
                <w:color w:val="auto"/>
                <w:kern w:val="2"/>
                <w:sz w:val="32"/>
                <w:szCs w:val="32"/>
                <w:lang w:val="en-US" w:eastAsia="zh-CN"/>
              </w:rPr>
            </w:pPr>
          </w:p>
        </w:tc>
        <w:tc>
          <w:tcPr>
            <w:tcW w:w="2137" w:type="dxa"/>
          </w:tcPr>
          <w:p w14:paraId="4EDF3151">
            <w:pPr>
              <w:spacing w:line="560" w:lineRule="exact"/>
              <w:rPr>
                <w:rFonts w:hint="eastAsia" w:ascii="仿宋_GB2312" w:hAnsi="仿宋_GB2312" w:eastAsia="仿宋_GB2312" w:cs="仿宋_GB2312"/>
                <w:color w:val="auto"/>
                <w:kern w:val="2"/>
                <w:sz w:val="32"/>
                <w:szCs w:val="32"/>
                <w:lang w:val="en-US" w:eastAsia="zh-CN"/>
              </w:rPr>
            </w:pPr>
          </w:p>
        </w:tc>
      </w:tr>
      <w:tr w14:paraId="475C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center"/>
          </w:tcPr>
          <w:p w14:paraId="4822E7EA">
            <w:pPr>
              <w:widowControl/>
              <w:jc w:val="center"/>
              <w:textAlignment w:val="center"/>
              <w:rPr>
                <w:rFonts w:hint="eastAsia" w:ascii="仿宋_GB2312" w:hAnsi="仿宋_GB2312" w:eastAsia="仿宋_GB2312" w:cs="仿宋_GB2312"/>
                <w:sz w:val="32"/>
                <w:szCs w:val="32"/>
                <w:lang w:bidi="ar"/>
              </w:rPr>
            </w:pPr>
          </w:p>
        </w:tc>
        <w:tc>
          <w:tcPr>
            <w:tcW w:w="1385" w:type="dxa"/>
          </w:tcPr>
          <w:p w14:paraId="57B55025">
            <w:pPr>
              <w:spacing w:line="560" w:lineRule="exact"/>
              <w:jc w:val="center"/>
              <w:rPr>
                <w:rFonts w:hint="eastAsia" w:ascii="仿宋_GB2312" w:hAnsi="仿宋_GB2312" w:eastAsia="仿宋_GB2312" w:cs="仿宋_GB2312"/>
                <w:color w:val="auto"/>
                <w:kern w:val="2"/>
                <w:sz w:val="32"/>
                <w:szCs w:val="32"/>
              </w:rPr>
            </w:pPr>
          </w:p>
        </w:tc>
        <w:tc>
          <w:tcPr>
            <w:tcW w:w="1067" w:type="dxa"/>
          </w:tcPr>
          <w:p w14:paraId="62F73D19">
            <w:pPr>
              <w:spacing w:line="560" w:lineRule="exact"/>
              <w:rPr>
                <w:rFonts w:hint="eastAsia" w:ascii="仿宋_GB2312" w:hAnsi="仿宋_GB2312" w:eastAsia="仿宋_GB2312" w:cs="仿宋_GB2312"/>
                <w:color w:val="auto"/>
                <w:kern w:val="2"/>
                <w:sz w:val="32"/>
                <w:szCs w:val="32"/>
                <w:lang w:val="en-US" w:eastAsia="zh-CN"/>
              </w:rPr>
            </w:pPr>
          </w:p>
        </w:tc>
        <w:tc>
          <w:tcPr>
            <w:tcW w:w="2101" w:type="dxa"/>
          </w:tcPr>
          <w:p w14:paraId="12198805">
            <w:pPr>
              <w:spacing w:line="560" w:lineRule="exact"/>
              <w:rPr>
                <w:rFonts w:hint="eastAsia" w:ascii="仿宋_GB2312" w:hAnsi="仿宋_GB2312" w:eastAsia="仿宋_GB2312" w:cs="仿宋_GB2312"/>
                <w:color w:val="auto"/>
                <w:kern w:val="2"/>
                <w:sz w:val="32"/>
                <w:szCs w:val="32"/>
                <w:lang w:val="en-US" w:eastAsia="zh-CN"/>
              </w:rPr>
            </w:pPr>
          </w:p>
        </w:tc>
        <w:tc>
          <w:tcPr>
            <w:tcW w:w="2137" w:type="dxa"/>
          </w:tcPr>
          <w:p w14:paraId="68106A24">
            <w:pPr>
              <w:spacing w:line="560" w:lineRule="exact"/>
              <w:rPr>
                <w:rFonts w:hint="eastAsia" w:ascii="仿宋_GB2312" w:hAnsi="仿宋_GB2312" w:eastAsia="仿宋_GB2312" w:cs="仿宋_GB2312"/>
                <w:color w:val="auto"/>
                <w:kern w:val="2"/>
                <w:sz w:val="32"/>
                <w:szCs w:val="32"/>
                <w:lang w:val="en-US" w:eastAsia="zh-CN"/>
              </w:rPr>
            </w:pPr>
          </w:p>
        </w:tc>
      </w:tr>
      <w:tr w14:paraId="4524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center"/>
          </w:tcPr>
          <w:p w14:paraId="1AC1EAFD">
            <w:pPr>
              <w:widowControl/>
              <w:jc w:val="center"/>
              <w:textAlignment w:val="center"/>
              <w:rPr>
                <w:rFonts w:hint="eastAsia" w:ascii="仿宋_GB2312" w:hAnsi="仿宋_GB2312" w:eastAsia="仿宋_GB2312" w:cs="仿宋_GB2312"/>
                <w:sz w:val="32"/>
                <w:szCs w:val="32"/>
              </w:rPr>
            </w:pPr>
          </w:p>
        </w:tc>
        <w:tc>
          <w:tcPr>
            <w:tcW w:w="1385" w:type="dxa"/>
          </w:tcPr>
          <w:p w14:paraId="3035FC85">
            <w:pPr>
              <w:spacing w:line="560" w:lineRule="exact"/>
              <w:jc w:val="center"/>
              <w:rPr>
                <w:rFonts w:hint="eastAsia" w:ascii="仿宋_GB2312" w:hAnsi="仿宋_GB2312" w:eastAsia="仿宋_GB2312" w:cs="仿宋_GB2312"/>
                <w:color w:val="auto"/>
                <w:kern w:val="2"/>
                <w:sz w:val="32"/>
                <w:szCs w:val="32"/>
              </w:rPr>
            </w:pPr>
          </w:p>
        </w:tc>
        <w:tc>
          <w:tcPr>
            <w:tcW w:w="1067" w:type="dxa"/>
          </w:tcPr>
          <w:p w14:paraId="22BE518B">
            <w:pPr>
              <w:spacing w:line="560" w:lineRule="exact"/>
              <w:rPr>
                <w:rFonts w:hint="eastAsia" w:ascii="仿宋_GB2312" w:hAnsi="仿宋_GB2312" w:eastAsia="仿宋_GB2312" w:cs="仿宋_GB2312"/>
                <w:color w:val="auto"/>
                <w:kern w:val="2"/>
                <w:sz w:val="32"/>
                <w:szCs w:val="32"/>
              </w:rPr>
            </w:pPr>
          </w:p>
        </w:tc>
        <w:tc>
          <w:tcPr>
            <w:tcW w:w="2101" w:type="dxa"/>
          </w:tcPr>
          <w:p w14:paraId="0C30A0D3">
            <w:pPr>
              <w:spacing w:line="560" w:lineRule="exact"/>
              <w:rPr>
                <w:rFonts w:hint="eastAsia" w:ascii="仿宋_GB2312" w:hAnsi="仿宋_GB2312" w:eastAsia="仿宋_GB2312" w:cs="仿宋_GB2312"/>
                <w:color w:val="auto"/>
                <w:kern w:val="2"/>
                <w:sz w:val="32"/>
                <w:szCs w:val="32"/>
                <w:lang w:val="en-US" w:eastAsia="zh-CN"/>
              </w:rPr>
            </w:pPr>
          </w:p>
        </w:tc>
        <w:tc>
          <w:tcPr>
            <w:tcW w:w="2137" w:type="dxa"/>
          </w:tcPr>
          <w:p w14:paraId="087682C2">
            <w:pPr>
              <w:spacing w:line="560" w:lineRule="exact"/>
              <w:rPr>
                <w:rFonts w:hint="eastAsia" w:ascii="仿宋_GB2312" w:hAnsi="仿宋_GB2312" w:eastAsia="仿宋_GB2312" w:cs="仿宋_GB2312"/>
                <w:color w:val="auto"/>
                <w:kern w:val="2"/>
                <w:sz w:val="32"/>
                <w:szCs w:val="32"/>
                <w:lang w:val="en-US" w:eastAsia="zh-CN"/>
              </w:rPr>
            </w:pPr>
          </w:p>
        </w:tc>
      </w:tr>
      <w:tr w14:paraId="5F1F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817" w:type="dxa"/>
            <w:gridSpan w:val="3"/>
            <w:vAlign w:val="center"/>
          </w:tcPr>
          <w:p w14:paraId="4CB66D0D">
            <w:pPr>
              <w:spacing w:line="560" w:lineRule="exact"/>
              <w:jc w:val="center"/>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含税合计（元）</w:t>
            </w:r>
          </w:p>
        </w:tc>
        <w:tc>
          <w:tcPr>
            <w:tcW w:w="4238" w:type="dxa"/>
            <w:gridSpan w:val="2"/>
          </w:tcPr>
          <w:p w14:paraId="53D294B9">
            <w:pPr>
              <w:spacing w:line="560" w:lineRule="exact"/>
              <w:rPr>
                <w:rFonts w:hint="eastAsia" w:ascii="仿宋_GB2312" w:hAnsi="仿宋_GB2312" w:eastAsia="仿宋_GB2312" w:cs="仿宋_GB2312"/>
                <w:color w:val="auto"/>
                <w:kern w:val="2"/>
                <w:sz w:val="32"/>
                <w:szCs w:val="32"/>
                <w:lang w:val="en-US" w:eastAsia="zh-CN"/>
              </w:rPr>
            </w:pPr>
          </w:p>
        </w:tc>
      </w:tr>
      <w:tr w14:paraId="4DC1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817" w:type="dxa"/>
            <w:gridSpan w:val="3"/>
            <w:vAlign w:val="center"/>
          </w:tcPr>
          <w:p w14:paraId="148623AA">
            <w:pPr>
              <w:spacing w:line="560" w:lineRule="exact"/>
              <w:jc w:val="center"/>
              <w:rPr>
                <w:rFonts w:hint="eastAsia"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税费（税率</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u w:val="single"/>
                <w:lang w:val="en-US" w:eastAsia="zh-CN"/>
              </w:rPr>
              <w:t xml:space="preserve">    </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eastAsia="zh-CN"/>
              </w:rPr>
              <w:t>）</w:t>
            </w:r>
          </w:p>
        </w:tc>
        <w:tc>
          <w:tcPr>
            <w:tcW w:w="4238" w:type="dxa"/>
            <w:gridSpan w:val="2"/>
          </w:tcPr>
          <w:p w14:paraId="42E49A6A">
            <w:pPr>
              <w:spacing w:line="560" w:lineRule="exact"/>
              <w:rPr>
                <w:rFonts w:hint="eastAsia" w:ascii="仿宋_GB2312" w:hAnsi="仿宋_GB2312" w:eastAsia="仿宋_GB2312" w:cs="仿宋_GB2312"/>
                <w:color w:val="auto"/>
                <w:kern w:val="2"/>
                <w:sz w:val="32"/>
                <w:szCs w:val="32"/>
                <w:lang w:val="en-US" w:eastAsia="zh-CN"/>
              </w:rPr>
            </w:pPr>
          </w:p>
        </w:tc>
      </w:tr>
      <w:tr w14:paraId="0D1C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5" w:type="dxa"/>
            <w:gridSpan w:val="5"/>
            <w:vAlign w:val="center"/>
          </w:tcPr>
          <w:p w14:paraId="6A84ED51">
            <w:pPr>
              <w:spacing w:line="560" w:lineRule="exac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备注：具体型号参数见“附件</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：相关产品型号及参数”</w:t>
            </w:r>
            <w:r>
              <w:rPr>
                <w:rFonts w:hint="eastAsia" w:ascii="仿宋_GB2312" w:hAnsi="仿宋_GB2312" w:eastAsia="仿宋_GB2312" w:cs="仿宋_GB2312"/>
                <w:kern w:val="2"/>
                <w:sz w:val="32"/>
                <w:szCs w:val="32"/>
                <w:lang w:eastAsia="zh-CN"/>
              </w:rPr>
              <w:t>。</w:t>
            </w:r>
          </w:p>
        </w:tc>
      </w:tr>
    </w:tbl>
    <w:p w14:paraId="3BA16A48">
      <w:pPr>
        <w:keepNext w:val="0"/>
        <w:keepLines w:val="0"/>
        <w:pageBreakBefore w:val="0"/>
        <w:widowControl w:val="0"/>
        <w:numPr>
          <w:ilvl w:val="255"/>
          <w:numId w:val="0"/>
        </w:numPr>
        <w:kinsoku w:val="0"/>
        <w:wordWrap/>
        <w:overflowPunct w:val="0"/>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shd w:val="clear" w:color="auto" w:fill="FFFFFF"/>
          <w:lang w:eastAsia="zh-CN" w:bidi="ar"/>
        </w:rPr>
      </w:pPr>
      <w:r>
        <w:rPr>
          <w:rFonts w:hint="eastAsia" w:ascii="黑体" w:hAnsi="黑体" w:eastAsia="黑体" w:cs="黑体"/>
          <w:sz w:val="32"/>
          <w:szCs w:val="32"/>
          <w:shd w:val="clear" w:color="auto" w:fill="FFFFFF"/>
          <w:lang w:eastAsia="zh-CN" w:bidi="ar"/>
        </w:rPr>
        <w:t>二、价格与支付方式</w:t>
      </w:r>
    </w:p>
    <w:p w14:paraId="33CD55FB">
      <w:pPr>
        <w:pStyle w:val="5"/>
        <w:spacing w:line="576" w:lineRule="exact"/>
        <w:ind w:firstLine="620" w:firstLineChars="200"/>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（一）合同</w:t>
      </w:r>
      <w:r>
        <w:rPr>
          <w:rFonts w:hint="eastAsia" w:ascii="仿宋_GB2312" w:hAnsi="仿宋_GB2312" w:eastAsia="仿宋_GB2312" w:cs="仿宋_GB2312"/>
          <w:spacing w:val="-5"/>
          <w:sz w:val="32"/>
          <w:szCs w:val="32"/>
          <w:lang w:val="en-US"/>
        </w:rPr>
        <w:t>暂定含税总</w:t>
      </w:r>
      <w:r>
        <w:rPr>
          <w:rFonts w:hint="eastAsia" w:ascii="仿宋_GB2312" w:hAnsi="仿宋_GB2312" w:eastAsia="仿宋_GB2312" w:cs="仿宋_GB2312"/>
          <w:spacing w:val="-5"/>
          <w:sz w:val="32"/>
          <w:szCs w:val="32"/>
        </w:rPr>
        <w:t>金额（大写）：</w:t>
      </w:r>
      <w:permStart w:id="0" w:edGrp="everyone"/>
      <w:r>
        <w:rPr>
          <w:rFonts w:hint="eastAsia" w:ascii="仿宋_GB2312" w:hAnsi="仿宋_GB2312" w:eastAsia="仿宋_GB2312" w:cs="仿宋_GB2312"/>
          <w:spacing w:val="-5"/>
          <w:sz w:val="32"/>
          <w:szCs w:val="32"/>
          <w:lang w:val="en-US" w:eastAsia="zh-CN"/>
        </w:rPr>
        <w:t xml:space="preserve">         </w:t>
      </w:r>
      <w:permEnd w:id="0"/>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u w:val="none"/>
          <w:lang w:val="en-US" w:eastAsia="zh-CN"/>
        </w:rPr>
        <w:t xml:space="preserve">    </w:t>
      </w:r>
      <w:r>
        <w:rPr>
          <w:rFonts w:hint="eastAsia" w:ascii="仿宋_GB2312" w:hAnsi="仿宋_GB2312" w:eastAsia="仿宋_GB2312" w:cs="仿宋_GB2312"/>
          <w:spacing w:val="-5"/>
          <w:sz w:val="32"/>
          <w:szCs w:val="32"/>
        </w:rPr>
        <w:t>元）</w:t>
      </w:r>
      <w:r>
        <w:rPr>
          <w:rFonts w:hint="eastAsia" w:ascii="仿宋_GB2312" w:hAnsi="仿宋_GB2312" w:eastAsia="仿宋_GB2312" w:cs="仿宋_GB2312"/>
          <w:spacing w:val="-5"/>
          <w:sz w:val="32"/>
          <w:szCs w:val="32"/>
          <w:lang w:val="en-US" w:eastAsia="zh-CN"/>
        </w:rPr>
        <w:t>,</w:t>
      </w:r>
      <w:r>
        <w:rPr>
          <w:rFonts w:hint="eastAsia" w:ascii="仿宋_GB2312" w:hAnsi="仿宋_GB2312" w:eastAsia="仿宋_GB2312" w:cs="仿宋_GB2312"/>
          <w:spacing w:val="-5"/>
          <w:kern w:val="0"/>
          <w:sz w:val="32"/>
          <w:szCs w:val="32"/>
        </w:rPr>
        <w:t>税率</w:t>
      </w:r>
      <w:r>
        <w:rPr>
          <w:rFonts w:hint="eastAsia" w:ascii="仿宋_GB2312" w:hAnsi="仿宋_GB2312" w:eastAsia="仿宋_GB2312" w:cs="仿宋_GB2312"/>
          <w:spacing w:val="-5"/>
          <w:kern w:val="0"/>
          <w:sz w:val="32"/>
          <w:szCs w:val="32"/>
          <w:lang w:val="en-US" w:eastAsia="zh-CN"/>
        </w:rPr>
        <w:t>:</w:t>
      </w:r>
      <w:permStart w:id="1" w:edGrp="everyone"/>
      <w:r>
        <w:rPr>
          <w:rFonts w:hint="eastAsia" w:ascii="仿宋_GB2312" w:hAnsi="仿宋_GB2312" w:eastAsia="仿宋_GB2312" w:cs="仿宋_GB2312"/>
          <w:spacing w:val="-5"/>
          <w:kern w:val="0"/>
          <w:sz w:val="32"/>
          <w:szCs w:val="32"/>
          <w:lang w:val="en-US" w:eastAsia="zh-CN"/>
        </w:rPr>
        <w:t xml:space="preserve">   </w:t>
      </w:r>
      <w:permEnd w:id="1"/>
      <w:r>
        <w:rPr>
          <w:rFonts w:hint="eastAsia" w:ascii="仿宋_GB2312" w:hAnsi="仿宋_GB2312" w:eastAsia="仿宋_GB2312" w:cs="仿宋_GB2312"/>
          <w:spacing w:val="-5"/>
          <w:kern w:val="0"/>
          <w:sz w:val="32"/>
          <w:szCs w:val="32"/>
        </w:rPr>
        <w:t>%，不含税总价人民币（大写）</w:t>
      </w:r>
      <w:r>
        <w:rPr>
          <w:rFonts w:hint="eastAsia" w:ascii="仿宋_GB2312" w:hAnsi="仿宋_GB2312" w:eastAsia="仿宋_GB2312" w:cs="仿宋_GB2312"/>
          <w:b w:val="0"/>
          <w:bCs w:val="0"/>
          <w:spacing w:val="-5"/>
          <w:sz w:val="32"/>
          <w:szCs w:val="32"/>
          <w:lang w:val="zh-CN"/>
        </w:rPr>
        <w:t xml:space="preserve"> </w:t>
      </w:r>
      <w:permStart w:id="2" w:edGrp="everyone"/>
      <w:r>
        <w:rPr>
          <w:rFonts w:hint="eastAsia" w:ascii="仿宋_GB2312" w:hAnsi="仿宋_GB2312" w:eastAsia="仿宋_GB2312" w:cs="仿宋_GB2312"/>
          <w:b w:val="0"/>
          <w:bCs w:val="0"/>
          <w:spacing w:val="-5"/>
          <w:sz w:val="32"/>
          <w:szCs w:val="32"/>
          <w:lang w:val="en-US" w:eastAsia="zh-CN"/>
        </w:rPr>
        <w:t xml:space="preserve">        </w:t>
      </w:r>
      <w:permEnd w:id="2"/>
      <w:r>
        <w:rPr>
          <w:rFonts w:hint="eastAsia" w:ascii="仿宋_GB2312" w:hAnsi="仿宋_GB2312" w:eastAsia="仿宋_GB2312" w:cs="仿宋_GB2312"/>
          <w:spacing w:val="-5"/>
          <w:sz w:val="32"/>
          <w:szCs w:val="32"/>
        </w:rPr>
        <w:t>（￥：</w:t>
      </w:r>
      <w:permStart w:id="3" w:edGrp="everyone"/>
      <w:r>
        <w:rPr>
          <w:rFonts w:hint="eastAsia" w:ascii="仿宋_GB2312" w:hAnsi="仿宋_GB2312" w:eastAsia="仿宋_GB2312" w:cs="仿宋_GB2312"/>
          <w:spacing w:val="-5"/>
          <w:sz w:val="32"/>
          <w:szCs w:val="32"/>
          <w:lang w:val="en-US" w:eastAsia="zh-CN"/>
        </w:rPr>
        <w:t xml:space="preserve">        </w:t>
      </w:r>
      <w:permEnd w:id="3"/>
      <w:r>
        <w:rPr>
          <w:rFonts w:hint="eastAsia" w:ascii="仿宋_GB2312" w:hAnsi="仿宋_GB2312" w:eastAsia="仿宋_GB2312" w:cs="仿宋_GB2312"/>
          <w:spacing w:val="-5"/>
          <w:sz w:val="32"/>
          <w:szCs w:val="32"/>
        </w:rPr>
        <w:t>元），</w:t>
      </w:r>
      <w:r>
        <w:rPr>
          <w:rFonts w:hint="eastAsia" w:ascii="仿宋_GB2312" w:hAnsi="仿宋_GB2312" w:eastAsia="仿宋_GB2312" w:cs="仿宋_GB2312"/>
          <w:spacing w:val="-5"/>
          <w:sz w:val="32"/>
          <w:szCs w:val="32"/>
          <w:lang w:val="en-US"/>
        </w:rPr>
        <w:t>具体结算金额</w:t>
      </w:r>
      <w:r>
        <w:rPr>
          <w:rFonts w:hint="eastAsia" w:ascii="仿宋_GB2312" w:hAnsi="仿宋_GB2312" w:eastAsia="仿宋_GB2312" w:cs="仿宋_GB2312"/>
          <w:spacing w:val="-5"/>
          <w:sz w:val="32"/>
          <w:szCs w:val="32"/>
        </w:rPr>
        <w:t>以</w:t>
      </w:r>
      <w:r>
        <w:rPr>
          <w:rFonts w:hint="eastAsia" w:ascii="仿宋_GB2312" w:hAnsi="仿宋_GB2312" w:eastAsia="仿宋_GB2312" w:cs="仿宋_GB2312"/>
          <w:spacing w:val="-5"/>
          <w:sz w:val="32"/>
          <w:szCs w:val="32"/>
          <w:lang w:eastAsia="zh-CN"/>
        </w:rPr>
        <w:t>甲方下达的</w:t>
      </w:r>
      <w:r>
        <w:rPr>
          <w:rFonts w:hint="eastAsia" w:ascii="仿宋_GB2312" w:hAnsi="仿宋_GB2312" w:eastAsia="仿宋_GB2312" w:cs="仿宋_GB2312"/>
          <w:spacing w:val="-5"/>
          <w:sz w:val="32"/>
          <w:szCs w:val="32"/>
        </w:rPr>
        <w:t>实际</w:t>
      </w:r>
      <w:r>
        <w:rPr>
          <w:rFonts w:hint="eastAsia" w:ascii="仿宋_GB2312" w:hAnsi="仿宋_GB2312" w:eastAsia="仿宋_GB2312" w:cs="仿宋_GB2312"/>
          <w:spacing w:val="-5"/>
          <w:sz w:val="32"/>
          <w:szCs w:val="32"/>
          <w:lang w:eastAsia="zh-CN"/>
        </w:rPr>
        <w:t>采购产品和</w:t>
      </w:r>
      <w:r>
        <w:rPr>
          <w:rFonts w:hint="eastAsia" w:ascii="仿宋_GB2312" w:hAnsi="仿宋_GB2312" w:eastAsia="仿宋_GB2312" w:cs="仿宋_GB2312"/>
          <w:spacing w:val="-5"/>
          <w:sz w:val="32"/>
          <w:szCs w:val="32"/>
        </w:rPr>
        <w:t>数量为准。</w:t>
      </w:r>
    </w:p>
    <w:p w14:paraId="0EE753BA">
      <w:pPr>
        <w:pStyle w:val="5"/>
        <w:spacing w:line="576" w:lineRule="exact"/>
        <w:ind w:firstLine="62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（二）本合同款项已包括乙方为履行本合同所可能产生的一切费用，包括但不限于</w:t>
      </w:r>
      <w:r>
        <w:rPr>
          <w:rFonts w:hint="eastAsia" w:ascii="仿宋_GB2312" w:hAnsi="仿宋_GB2312" w:eastAsia="仿宋_GB2312" w:cs="仿宋_GB2312"/>
          <w:spacing w:val="-5"/>
          <w:sz w:val="32"/>
          <w:szCs w:val="32"/>
          <w:lang w:val="en-US"/>
        </w:rPr>
        <w:t>货物</w:t>
      </w:r>
      <w:r>
        <w:rPr>
          <w:rFonts w:hint="eastAsia" w:ascii="仿宋_GB2312" w:hAnsi="仿宋_GB2312" w:eastAsia="仿宋_GB2312" w:cs="仿宋_GB2312"/>
          <w:spacing w:val="-5"/>
          <w:sz w:val="32"/>
          <w:szCs w:val="32"/>
        </w:rPr>
        <w:t>费、包装费、运费、装卸费、交付前的仓储费、管理费</w:t>
      </w:r>
      <w:r>
        <w:rPr>
          <w:rFonts w:hint="eastAsia" w:ascii="仿宋_GB2312" w:hAnsi="仿宋_GB2312" w:eastAsia="仿宋_GB2312" w:cs="仿宋_GB2312"/>
          <w:spacing w:val="-5"/>
          <w:sz w:val="32"/>
          <w:szCs w:val="32"/>
          <w:lang w:eastAsia="zh-CN"/>
        </w:rPr>
        <w:t>、实施部署费</w:t>
      </w:r>
      <w:r>
        <w:rPr>
          <w:rFonts w:hint="eastAsia" w:ascii="仿宋_GB2312" w:hAnsi="仿宋_GB2312" w:eastAsia="仿宋_GB2312" w:cs="仿宋_GB2312"/>
          <w:spacing w:val="-5"/>
          <w:sz w:val="32"/>
          <w:szCs w:val="32"/>
        </w:rPr>
        <w:t>及税金等其他一切相关费用。除前述金额外，甲方无需再向乙方或任何第三方承担任何费用。</w:t>
      </w:r>
    </w:p>
    <w:p w14:paraId="4445366E">
      <w:pPr>
        <w:pStyle w:val="5"/>
        <w:spacing w:line="576" w:lineRule="exact"/>
        <w:ind w:firstLine="620" w:firstLineChars="200"/>
        <w:rPr>
          <w:rFonts w:hint="eastAsia" w:ascii="仿宋_GB2312" w:hAnsi="仿宋_GB2312" w:eastAsia="仿宋_GB2312" w:cs="仿宋_GB2312"/>
          <w:spacing w:val="-5"/>
          <w:sz w:val="32"/>
          <w:szCs w:val="32"/>
          <w:highlight w:val="none"/>
          <w:lang w:eastAsia="zh-CN"/>
        </w:rPr>
      </w:pPr>
      <w:r>
        <w:rPr>
          <w:rFonts w:hint="eastAsia" w:ascii="仿宋_GB2312" w:hAnsi="仿宋_GB2312" w:eastAsia="仿宋_GB2312" w:cs="仿宋_GB2312"/>
          <w:spacing w:val="-5"/>
          <w:sz w:val="32"/>
          <w:szCs w:val="32"/>
          <w:highlight w:val="none"/>
          <w:lang w:eastAsia="zh-CN"/>
        </w:rPr>
        <w:t>（三）支付方式：</w:t>
      </w:r>
    </w:p>
    <w:p w14:paraId="5C4F7752">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本合同签订后</w:t>
      </w:r>
      <w:r>
        <w:rPr>
          <w:rFonts w:hint="eastAsia" w:ascii="仿宋_GB2312" w:hAnsi="仿宋_GB2312" w:eastAsia="仿宋_GB2312" w:cs="仿宋_GB2312"/>
          <w:sz w:val="32"/>
          <w:szCs w:val="32"/>
          <w:highlight w:val="none"/>
          <w:u w:val="single"/>
          <w:lang w:val="en-US"/>
        </w:rPr>
        <w:t xml:space="preserve"> </w:t>
      </w:r>
      <w:r>
        <w:rPr>
          <w:rFonts w:hint="eastAsia" w:ascii="仿宋_GB2312" w:hAnsi="仿宋_GB2312" w:eastAsia="仿宋_GB2312" w:cs="仿宋_GB2312"/>
          <w:sz w:val="32"/>
          <w:szCs w:val="32"/>
          <w:highlight w:val="none"/>
          <w:u w:val="single"/>
          <w:lang w:val="en-US" w:eastAsia="zh-CN"/>
        </w:rPr>
        <w:t>15</w:t>
      </w:r>
      <w:r>
        <w:rPr>
          <w:rFonts w:hint="eastAsia" w:ascii="仿宋_GB2312" w:hAnsi="仿宋_GB2312" w:eastAsia="仿宋_GB2312" w:cs="仿宋_GB2312"/>
          <w:sz w:val="32"/>
          <w:szCs w:val="32"/>
          <w:highlight w:val="none"/>
          <w:u w:val="single"/>
          <w:lang w:val="en-US"/>
        </w:rPr>
        <w:t xml:space="preserve"> </w:t>
      </w:r>
      <w:r>
        <w:rPr>
          <w:rFonts w:hint="eastAsia" w:ascii="仿宋_GB2312" w:hAnsi="仿宋_GB2312" w:eastAsia="仿宋_GB2312" w:cs="仿宋_GB2312"/>
          <w:sz w:val="32"/>
          <w:szCs w:val="32"/>
          <w:highlight w:val="none"/>
          <w:u w:val="none"/>
          <w:lang w:val="en-US" w:eastAsia="zh-CN"/>
        </w:rPr>
        <w:t>工作</w:t>
      </w:r>
      <w:r>
        <w:rPr>
          <w:rFonts w:hint="eastAsia" w:ascii="仿宋_GB2312" w:hAnsi="仿宋_GB2312" w:eastAsia="仿宋_GB2312" w:cs="仿宋_GB2312"/>
          <w:sz w:val="32"/>
          <w:szCs w:val="32"/>
          <w:highlight w:val="none"/>
          <w:lang w:val="en-US"/>
        </w:rPr>
        <w:t>日内</w:t>
      </w:r>
      <w:r>
        <w:rPr>
          <w:rFonts w:hint="eastAsia" w:ascii="仿宋_GB2312" w:hAnsi="仿宋_GB2312" w:eastAsia="仿宋_GB2312" w:cs="仿宋_GB2312"/>
          <w:sz w:val="32"/>
          <w:szCs w:val="32"/>
          <w:highlight w:val="none"/>
        </w:rPr>
        <w:t>，甲方向乙方支付</w:t>
      </w:r>
      <w:r>
        <w:rPr>
          <w:rFonts w:hint="eastAsia" w:ascii="仿宋_GB2312" w:hAnsi="仿宋_GB2312" w:eastAsia="仿宋_GB2312" w:cs="仿宋_GB2312"/>
          <w:sz w:val="32"/>
          <w:szCs w:val="32"/>
          <w:highlight w:val="none"/>
          <w:lang w:val="en-US"/>
        </w:rPr>
        <w:t>至</w:t>
      </w:r>
      <w:r>
        <w:rPr>
          <w:rFonts w:hint="eastAsia" w:ascii="仿宋_GB2312" w:hAnsi="仿宋_GB2312" w:eastAsia="仿宋_GB2312" w:cs="仿宋_GB2312"/>
          <w:sz w:val="32"/>
          <w:szCs w:val="32"/>
          <w:highlight w:val="none"/>
        </w:rPr>
        <w:t>合同总金额的</w:t>
      </w:r>
      <w:r>
        <w:rPr>
          <w:rFonts w:hint="eastAsia" w:ascii="仿宋_GB2312" w:hAnsi="仿宋_GB2312" w:eastAsia="仿宋_GB2312" w:cs="仿宋_GB2312"/>
          <w:sz w:val="32"/>
          <w:szCs w:val="32"/>
          <w:highlight w:val="none"/>
          <w:u w:val="single"/>
          <w:lang w:val="en-US"/>
        </w:rPr>
        <w:t xml:space="preserve"> </w:t>
      </w:r>
      <w:r>
        <w:rPr>
          <w:rFonts w:hint="eastAsia" w:ascii="仿宋_GB2312" w:hAnsi="仿宋_GB2312" w:eastAsia="仿宋_GB2312" w:cs="仿宋_GB2312"/>
          <w:sz w:val="32"/>
          <w:szCs w:val="32"/>
          <w:highlight w:val="none"/>
          <w:u w:val="single"/>
          <w:lang w:val="en-US" w:eastAsia="zh-CN"/>
        </w:rPr>
        <w:t>20</w:t>
      </w:r>
      <w:r>
        <w:rPr>
          <w:rFonts w:hint="eastAsia" w:ascii="仿宋_GB2312" w:hAnsi="仿宋_GB2312" w:eastAsia="仿宋_GB2312" w:cs="仿宋_GB2312"/>
          <w:sz w:val="32"/>
          <w:szCs w:val="32"/>
          <w:highlight w:val="none"/>
          <w:u w:val="single"/>
          <w:lang w:val="en-US"/>
        </w:rPr>
        <w:t xml:space="preserve"> </w:t>
      </w:r>
      <w:r>
        <w:rPr>
          <w:rFonts w:hint="eastAsia" w:ascii="仿宋_GB2312" w:hAnsi="仿宋_GB2312" w:eastAsia="仿宋_GB2312" w:cs="仿宋_GB2312"/>
          <w:sz w:val="32"/>
          <w:szCs w:val="32"/>
          <w:highlight w:val="none"/>
          <w:lang w:val="en-US"/>
        </w:rPr>
        <w:t>%</w:t>
      </w:r>
      <w:r>
        <w:rPr>
          <w:rFonts w:hint="eastAsia" w:ascii="仿宋_GB2312" w:hAnsi="仿宋_GB2312" w:eastAsia="仿宋_GB2312" w:cs="仿宋_GB2312"/>
          <w:sz w:val="32"/>
          <w:szCs w:val="32"/>
          <w:highlight w:val="none"/>
        </w:rPr>
        <w:t>，即（大写）人民币</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小写</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w:t>
      </w:r>
    </w:p>
    <w:p w14:paraId="4BC107C9">
      <w:pPr>
        <w:spacing w:line="240" w:lineRule="auto"/>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2.经甲乙双方验收合格后出具验收合格报告</w:t>
      </w:r>
      <w:r>
        <w:rPr>
          <w:rFonts w:hint="eastAsia" w:ascii="仿宋_GB2312" w:hAnsi="仿宋_GB2312" w:eastAsia="仿宋_GB2312" w:cs="仿宋_GB2312"/>
          <w:sz w:val="32"/>
          <w:szCs w:val="32"/>
          <w:highlight w:val="none"/>
          <w:u w:val="single"/>
          <w:lang w:val="en-US"/>
        </w:rPr>
        <w:t xml:space="preserve"> </w:t>
      </w:r>
      <w:r>
        <w:rPr>
          <w:rFonts w:hint="eastAsia" w:ascii="仿宋_GB2312" w:hAnsi="仿宋_GB2312" w:eastAsia="仿宋_GB2312" w:cs="仿宋_GB2312"/>
          <w:sz w:val="32"/>
          <w:szCs w:val="32"/>
          <w:highlight w:val="none"/>
          <w:u w:val="single"/>
          <w:lang w:val="en-US" w:eastAsia="zh-CN"/>
        </w:rPr>
        <w:t>15</w:t>
      </w:r>
      <w:r>
        <w:rPr>
          <w:rFonts w:hint="eastAsia" w:ascii="仿宋_GB2312" w:hAnsi="仿宋_GB2312" w:eastAsia="仿宋_GB2312" w:cs="仿宋_GB2312"/>
          <w:sz w:val="32"/>
          <w:szCs w:val="32"/>
          <w:highlight w:val="none"/>
          <w:u w:val="single"/>
          <w:lang w:val="en-US"/>
        </w:rPr>
        <w:t xml:space="preserve"> </w:t>
      </w:r>
      <w:r>
        <w:rPr>
          <w:rFonts w:hint="eastAsia" w:ascii="仿宋_GB2312" w:hAnsi="仿宋_GB2312" w:eastAsia="仿宋_GB2312" w:cs="仿宋_GB2312"/>
          <w:sz w:val="32"/>
          <w:szCs w:val="32"/>
          <w:highlight w:val="none"/>
          <w:u w:val="none"/>
          <w:lang w:val="en-US" w:eastAsia="zh-CN"/>
        </w:rPr>
        <w:t>工作</w:t>
      </w:r>
      <w:r>
        <w:rPr>
          <w:rFonts w:hint="eastAsia" w:ascii="仿宋_GB2312" w:hAnsi="仿宋_GB2312" w:eastAsia="仿宋_GB2312" w:cs="仿宋_GB2312"/>
          <w:sz w:val="32"/>
          <w:szCs w:val="32"/>
          <w:highlight w:val="none"/>
          <w:lang w:val="en-US"/>
        </w:rPr>
        <w:t>日内</w:t>
      </w:r>
      <w:r>
        <w:rPr>
          <w:rFonts w:hint="eastAsia" w:ascii="仿宋_GB2312" w:hAnsi="仿宋_GB2312" w:eastAsia="仿宋_GB2312" w:cs="仿宋_GB2312"/>
          <w:sz w:val="32"/>
          <w:szCs w:val="32"/>
          <w:highlight w:val="none"/>
        </w:rPr>
        <w:t>，甲方向乙方支付</w:t>
      </w:r>
      <w:r>
        <w:rPr>
          <w:rFonts w:hint="eastAsia" w:ascii="仿宋_GB2312" w:hAnsi="仿宋_GB2312" w:eastAsia="仿宋_GB2312" w:cs="仿宋_GB2312"/>
          <w:sz w:val="32"/>
          <w:szCs w:val="32"/>
          <w:highlight w:val="none"/>
          <w:lang w:val="en-US"/>
        </w:rPr>
        <w:t>至</w:t>
      </w:r>
      <w:r>
        <w:rPr>
          <w:rFonts w:hint="eastAsia" w:ascii="仿宋_GB2312" w:hAnsi="仿宋_GB2312" w:eastAsia="仿宋_GB2312" w:cs="仿宋_GB2312"/>
          <w:sz w:val="32"/>
          <w:szCs w:val="32"/>
          <w:highlight w:val="none"/>
          <w:lang w:eastAsia="zh-CN"/>
        </w:rPr>
        <w:t>结算</w:t>
      </w:r>
      <w:r>
        <w:rPr>
          <w:rFonts w:hint="eastAsia" w:ascii="仿宋_GB2312" w:hAnsi="仿宋_GB2312" w:eastAsia="仿宋_GB2312" w:cs="仿宋_GB2312"/>
          <w:sz w:val="32"/>
          <w:szCs w:val="32"/>
          <w:highlight w:val="none"/>
        </w:rPr>
        <w:t>总金额</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u w:val="single"/>
          <w:lang w:val="en-US" w:eastAsia="zh-CN"/>
        </w:rPr>
        <w:t xml:space="preserve"> 70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14:paraId="0B75BB46">
      <w:pPr>
        <w:spacing w:line="240" w:lineRule="auto"/>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3.自产品验收合格之日起满一周年后</w:t>
      </w:r>
      <w:r>
        <w:rPr>
          <w:rFonts w:hint="eastAsia" w:ascii="仿宋_GB2312" w:hAnsi="仿宋_GB2312" w:eastAsia="仿宋_GB2312" w:cs="仿宋_GB2312"/>
          <w:sz w:val="32"/>
          <w:szCs w:val="32"/>
          <w:highlight w:val="none"/>
          <w:u w:val="single"/>
          <w:lang w:val="en-US" w:eastAsia="zh-CN"/>
        </w:rPr>
        <w:t xml:space="preserve"> 15 </w:t>
      </w:r>
      <w:r>
        <w:rPr>
          <w:rFonts w:hint="eastAsia" w:ascii="仿宋_GB2312" w:hAnsi="仿宋_GB2312" w:eastAsia="仿宋_GB2312" w:cs="仿宋_GB2312"/>
          <w:sz w:val="32"/>
          <w:szCs w:val="32"/>
          <w:highlight w:val="none"/>
          <w:u w:val="none"/>
          <w:lang w:val="en-US" w:eastAsia="zh-CN"/>
        </w:rPr>
        <w:t>工作</w:t>
      </w:r>
      <w:r>
        <w:rPr>
          <w:rFonts w:hint="eastAsia" w:ascii="仿宋_GB2312" w:hAnsi="仿宋_GB2312" w:eastAsia="仿宋_GB2312" w:cs="仿宋_GB2312"/>
          <w:sz w:val="32"/>
          <w:szCs w:val="32"/>
          <w:highlight w:val="none"/>
          <w:lang w:val="en-US" w:eastAsia="zh-CN"/>
        </w:rPr>
        <w:t>日内，甲方对乙方第一年度的售后服务进行确认。若乙方在第一年度内提供的售后服务合格、无违约行为，则</w:t>
      </w:r>
      <w:r>
        <w:rPr>
          <w:rFonts w:hint="eastAsia" w:ascii="仿宋_GB2312" w:hAnsi="仿宋_GB2312" w:eastAsia="仿宋_GB2312" w:cs="仿宋_GB2312"/>
          <w:sz w:val="32"/>
          <w:szCs w:val="32"/>
          <w:highlight w:val="none"/>
        </w:rPr>
        <w:t>甲方向乙方支付</w:t>
      </w:r>
      <w:r>
        <w:rPr>
          <w:rFonts w:hint="eastAsia" w:ascii="仿宋_GB2312" w:hAnsi="仿宋_GB2312" w:eastAsia="仿宋_GB2312" w:cs="仿宋_GB2312"/>
          <w:sz w:val="32"/>
          <w:szCs w:val="32"/>
          <w:highlight w:val="none"/>
          <w:lang w:val="en-US"/>
        </w:rPr>
        <w:t>至</w:t>
      </w:r>
      <w:r>
        <w:rPr>
          <w:rFonts w:hint="eastAsia" w:ascii="仿宋_GB2312" w:hAnsi="仿宋_GB2312" w:eastAsia="仿宋_GB2312" w:cs="仿宋_GB2312"/>
          <w:sz w:val="32"/>
          <w:szCs w:val="32"/>
          <w:highlight w:val="none"/>
          <w:lang w:eastAsia="zh-CN"/>
        </w:rPr>
        <w:t>结算</w:t>
      </w:r>
      <w:r>
        <w:rPr>
          <w:rFonts w:hint="eastAsia" w:ascii="仿宋_GB2312" w:hAnsi="仿宋_GB2312" w:eastAsia="仿宋_GB2312" w:cs="仿宋_GB2312"/>
          <w:sz w:val="32"/>
          <w:szCs w:val="32"/>
          <w:highlight w:val="none"/>
        </w:rPr>
        <w:t>总金额</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u w:val="single"/>
          <w:lang w:val="en-US" w:eastAsia="zh-CN"/>
        </w:rPr>
        <w:t xml:space="preserve"> 80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14:paraId="58F561AC">
      <w:pPr>
        <w:spacing w:line="240" w:lineRule="auto"/>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4.自产品验收合格之日起满两周年后</w:t>
      </w:r>
      <w:r>
        <w:rPr>
          <w:rFonts w:hint="eastAsia" w:ascii="仿宋_GB2312" w:hAnsi="仿宋_GB2312" w:eastAsia="仿宋_GB2312" w:cs="仿宋_GB2312"/>
          <w:sz w:val="32"/>
          <w:szCs w:val="32"/>
          <w:highlight w:val="none"/>
          <w:u w:val="single"/>
          <w:lang w:val="en-US" w:eastAsia="zh-CN"/>
        </w:rPr>
        <w:t xml:space="preserve"> 15 </w:t>
      </w:r>
      <w:r>
        <w:rPr>
          <w:rFonts w:hint="eastAsia" w:ascii="仿宋_GB2312" w:hAnsi="仿宋_GB2312" w:eastAsia="仿宋_GB2312" w:cs="仿宋_GB2312"/>
          <w:sz w:val="32"/>
          <w:szCs w:val="32"/>
          <w:highlight w:val="none"/>
          <w:u w:val="none"/>
          <w:lang w:val="en-US" w:eastAsia="zh-CN"/>
        </w:rPr>
        <w:t>工作</w:t>
      </w:r>
      <w:r>
        <w:rPr>
          <w:rFonts w:hint="eastAsia" w:ascii="仿宋_GB2312" w:hAnsi="仿宋_GB2312" w:eastAsia="仿宋_GB2312" w:cs="仿宋_GB2312"/>
          <w:sz w:val="32"/>
          <w:szCs w:val="32"/>
          <w:highlight w:val="none"/>
          <w:lang w:val="en-US" w:eastAsia="zh-CN"/>
        </w:rPr>
        <w:t>日内，甲方对乙方第二年度的售后服务进行确认。若乙方在第二年度内提供的售后服务合格、无违约行为，则</w:t>
      </w:r>
      <w:r>
        <w:rPr>
          <w:rFonts w:hint="eastAsia" w:ascii="仿宋_GB2312" w:hAnsi="仿宋_GB2312" w:eastAsia="仿宋_GB2312" w:cs="仿宋_GB2312"/>
          <w:sz w:val="32"/>
          <w:szCs w:val="32"/>
          <w:highlight w:val="none"/>
        </w:rPr>
        <w:t>甲方向乙方支付</w:t>
      </w:r>
      <w:r>
        <w:rPr>
          <w:rFonts w:hint="eastAsia" w:ascii="仿宋_GB2312" w:hAnsi="仿宋_GB2312" w:eastAsia="仿宋_GB2312" w:cs="仿宋_GB2312"/>
          <w:sz w:val="32"/>
          <w:szCs w:val="32"/>
          <w:highlight w:val="none"/>
          <w:lang w:val="en-US"/>
        </w:rPr>
        <w:t>至</w:t>
      </w:r>
      <w:r>
        <w:rPr>
          <w:rFonts w:hint="eastAsia" w:ascii="仿宋_GB2312" w:hAnsi="仿宋_GB2312" w:eastAsia="仿宋_GB2312" w:cs="仿宋_GB2312"/>
          <w:sz w:val="32"/>
          <w:szCs w:val="32"/>
          <w:highlight w:val="none"/>
          <w:lang w:eastAsia="zh-CN"/>
        </w:rPr>
        <w:t>结算</w:t>
      </w:r>
      <w:r>
        <w:rPr>
          <w:rFonts w:hint="eastAsia" w:ascii="仿宋_GB2312" w:hAnsi="仿宋_GB2312" w:eastAsia="仿宋_GB2312" w:cs="仿宋_GB2312"/>
          <w:sz w:val="32"/>
          <w:szCs w:val="32"/>
          <w:highlight w:val="none"/>
        </w:rPr>
        <w:t>总金额</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u w:val="single"/>
          <w:lang w:val="en-US" w:eastAsia="zh-CN"/>
        </w:rPr>
        <w:t xml:space="preserve"> 90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14:paraId="3A34F744">
      <w:pPr>
        <w:spacing w:line="240" w:lineRule="auto"/>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5.自产品验收合格之日起满三周年后</w:t>
      </w:r>
      <w:r>
        <w:rPr>
          <w:rFonts w:hint="eastAsia" w:ascii="仿宋_GB2312" w:hAnsi="仿宋_GB2312" w:eastAsia="仿宋_GB2312" w:cs="仿宋_GB2312"/>
          <w:sz w:val="32"/>
          <w:szCs w:val="32"/>
          <w:highlight w:val="none"/>
          <w:u w:val="single"/>
          <w:lang w:val="en-US" w:eastAsia="zh-CN"/>
        </w:rPr>
        <w:t xml:space="preserve"> 15 </w:t>
      </w:r>
      <w:r>
        <w:rPr>
          <w:rFonts w:hint="eastAsia" w:ascii="仿宋_GB2312" w:hAnsi="仿宋_GB2312" w:eastAsia="仿宋_GB2312" w:cs="仿宋_GB2312"/>
          <w:sz w:val="32"/>
          <w:szCs w:val="32"/>
          <w:highlight w:val="none"/>
          <w:u w:val="none"/>
          <w:lang w:val="en-US" w:eastAsia="zh-CN"/>
        </w:rPr>
        <w:t>工作</w:t>
      </w:r>
      <w:r>
        <w:rPr>
          <w:rFonts w:hint="eastAsia" w:ascii="仿宋_GB2312" w:hAnsi="仿宋_GB2312" w:eastAsia="仿宋_GB2312" w:cs="仿宋_GB2312"/>
          <w:sz w:val="32"/>
          <w:szCs w:val="32"/>
          <w:highlight w:val="none"/>
          <w:lang w:val="en-US" w:eastAsia="zh-CN"/>
        </w:rPr>
        <w:t>日内，甲方对乙方第三年度的售后服务进行确认。若乙方在第三年度内提供的售后服务合格、无违约行为，则</w:t>
      </w:r>
      <w:r>
        <w:rPr>
          <w:rFonts w:hint="eastAsia" w:ascii="仿宋_GB2312" w:hAnsi="仿宋_GB2312" w:eastAsia="仿宋_GB2312" w:cs="仿宋_GB2312"/>
          <w:sz w:val="32"/>
          <w:szCs w:val="32"/>
          <w:highlight w:val="none"/>
        </w:rPr>
        <w:t>甲方向乙方支付</w:t>
      </w:r>
      <w:r>
        <w:rPr>
          <w:rFonts w:hint="eastAsia" w:ascii="仿宋_GB2312" w:hAnsi="仿宋_GB2312" w:eastAsia="仿宋_GB2312" w:cs="仿宋_GB2312"/>
          <w:sz w:val="32"/>
          <w:szCs w:val="32"/>
          <w:highlight w:val="none"/>
          <w:lang w:val="en-US"/>
        </w:rPr>
        <w:t>至</w:t>
      </w:r>
      <w:r>
        <w:rPr>
          <w:rFonts w:hint="eastAsia" w:ascii="仿宋_GB2312" w:hAnsi="仿宋_GB2312" w:eastAsia="仿宋_GB2312" w:cs="仿宋_GB2312"/>
          <w:sz w:val="32"/>
          <w:szCs w:val="32"/>
          <w:highlight w:val="none"/>
          <w:lang w:eastAsia="zh-CN"/>
        </w:rPr>
        <w:t>结算</w:t>
      </w:r>
      <w:r>
        <w:rPr>
          <w:rFonts w:hint="eastAsia" w:ascii="仿宋_GB2312" w:hAnsi="仿宋_GB2312" w:eastAsia="仿宋_GB2312" w:cs="仿宋_GB2312"/>
          <w:sz w:val="32"/>
          <w:szCs w:val="32"/>
          <w:highlight w:val="none"/>
        </w:rPr>
        <w:t>总金额</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u w:val="single"/>
          <w:lang w:val="en-US" w:eastAsia="zh-CN"/>
        </w:rPr>
        <w:t xml:space="preserve"> 100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14:paraId="1F3B4530">
      <w:p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乙方收款信息</w:t>
      </w:r>
    </w:p>
    <w:p w14:paraId="2B6219A6">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开户行：</w:t>
      </w:r>
    </w:p>
    <w:p w14:paraId="6D7ED21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p>
    <w:p w14:paraId="354DAB1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户：</w:t>
      </w:r>
    </w:p>
    <w:p w14:paraId="7FA8A3B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w:t>
      </w:r>
    </w:p>
    <w:p w14:paraId="039E471B">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7.甲方开票信息</w:t>
      </w:r>
    </w:p>
    <w:p w14:paraId="7A24E8AF">
      <w:pPr>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名称：海口市产业发展投资集团有限公司</w:t>
      </w:r>
    </w:p>
    <w:p w14:paraId="41DDB789">
      <w:pPr>
        <w:spacing w:line="560" w:lineRule="exact"/>
        <w:ind w:firstLine="640" w:firstLineChars="20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开户行：中国工商银行股份有限公司海口江东支行</w:t>
      </w:r>
    </w:p>
    <w:p w14:paraId="65A760F9">
      <w:pPr>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银行</w:t>
      </w:r>
      <w:r>
        <w:rPr>
          <w:rFonts w:hint="eastAsia" w:ascii="仿宋_GB2312" w:hAnsi="仿宋_GB2312" w:eastAsia="仿宋_GB2312" w:cs="仿宋_GB2312"/>
          <w:sz w:val="32"/>
          <w:szCs w:val="32"/>
        </w:rPr>
        <w:t>账号：2201060119100008037</w:t>
      </w:r>
    </w:p>
    <w:p w14:paraId="7E2F0FB7">
      <w:pPr>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纳税人识别号：91460000MACX5Q1Y1B</w:t>
      </w:r>
    </w:p>
    <w:p w14:paraId="762882CF">
      <w:pPr>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址：海南省海口市江东新区江东大道202号江东大厦B座3层</w:t>
      </w:r>
    </w:p>
    <w:p w14:paraId="742BDF82">
      <w:pPr>
        <w:spacing w:line="560" w:lineRule="exact"/>
        <w:ind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话：0898-31908519</w:t>
      </w:r>
    </w:p>
    <w:p w14:paraId="799ECECA">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每次付款前【10】个工作日，乙方应提供合法有效的增值税专用发票，否则甲方有权延期付款，并不承担任何责任，由此造成的损失由乙方承担。如遇国家税率调整，则不含税价格不变，合同含税价及税率相应调整，乙方应按纳税义务发生时的税率开具增值税专用发票，税率变化导致价税金额的变更应在进度及结算金额中进行调整。</w:t>
      </w:r>
    </w:p>
    <w:p w14:paraId="60C47C5A">
      <w:pPr>
        <w:numPr>
          <w:ilvl w:val="255"/>
          <w:numId w:val="0"/>
        </w:numPr>
        <w:kinsoku w:val="0"/>
        <w:overflowPunct w:val="0"/>
        <w:spacing w:line="560" w:lineRule="exact"/>
        <w:ind w:firstLine="640" w:firstLineChars="200"/>
        <w:outlineLvl w:val="0"/>
        <w:rPr>
          <w:rFonts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三、履行期限、地点和方式</w:t>
      </w:r>
    </w:p>
    <w:p w14:paraId="4FF2851D">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履行期限</w:t>
      </w:r>
      <w:r>
        <w:rPr>
          <w:rFonts w:hint="eastAsia" w:ascii="仿宋_GB2312" w:hAnsi="仿宋" w:eastAsia="仿宋_GB2312" w:cs="仿宋"/>
          <w:sz w:val="32"/>
          <w:szCs w:val="32"/>
        </w:rPr>
        <w:t>:乙方在合同签订后</w:t>
      </w:r>
      <w:r>
        <w:rPr>
          <w:rFonts w:hint="eastAsia" w:ascii="仿宋_GB2312" w:hAnsi="仿宋" w:eastAsia="仿宋_GB2312" w:cs="仿宋"/>
          <w:sz w:val="32"/>
          <w:szCs w:val="32"/>
          <w:u w:val="single"/>
          <w:lang w:val="en-US" w:eastAsia="zh-CN"/>
        </w:rPr>
        <w:t xml:space="preserve"> 120 </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完成</w:t>
      </w:r>
      <w:r>
        <w:rPr>
          <w:rFonts w:hint="eastAsia" w:ascii="仿宋_GB2312" w:hAnsi="仿宋" w:eastAsia="仿宋_GB2312" w:cs="仿宋"/>
          <w:sz w:val="32"/>
          <w:szCs w:val="32"/>
        </w:rPr>
        <w:t>项目</w:t>
      </w:r>
      <w:r>
        <w:rPr>
          <w:rFonts w:hint="eastAsia" w:ascii="仿宋_GB2312" w:hAnsi="仿宋" w:eastAsia="仿宋_GB2312" w:cs="仿宋"/>
          <w:sz w:val="32"/>
          <w:szCs w:val="32"/>
          <w:lang w:val="en-US" w:eastAsia="zh-CN"/>
        </w:rPr>
        <w:t>全部内</w:t>
      </w:r>
      <w:r>
        <w:rPr>
          <w:rFonts w:hint="eastAsia" w:ascii="仿宋_GB2312" w:hAnsi="仿宋" w:eastAsia="仿宋_GB2312" w:cs="仿宋"/>
          <w:color w:val="auto"/>
          <w:sz w:val="32"/>
          <w:szCs w:val="32"/>
          <w:lang w:val="en-US" w:eastAsia="zh-CN"/>
        </w:rPr>
        <w:t>容。</w:t>
      </w:r>
    </w:p>
    <w:p w14:paraId="264B8426">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（二）</w:t>
      </w:r>
      <w:r>
        <w:rPr>
          <w:rFonts w:hint="eastAsia" w:ascii="仿宋_GB2312" w:hAnsi="仿宋" w:eastAsia="仿宋_GB2312" w:cs="仿宋"/>
          <w:color w:val="auto"/>
          <w:sz w:val="32"/>
          <w:szCs w:val="32"/>
          <w:lang w:val="en-US" w:eastAsia="zh-CN"/>
        </w:rPr>
        <w:t>履行</w:t>
      </w:r>
      <w:r>
        <w:rPr>
          <w:rFonts w:hint="eastAsia" w:ascii="仿宋_GB2312" w:hAnsi="仿宋" w:eastAsia="仿宋_GB2312" w:cs="仿宋"/>
          <w:color w:val="auto"/>
          <w:sz w:val="32"/>
          <w:szCs w:val="32"/>
        </w:rPr>
        <w:t>地点:用户指定地点。</w:t>
      </w:r>
    </w:p>
    <w:p w14:paraId="05A41B1E">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三</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履行方式</w:t>
      </w:r>
      <w:r>
        <w:rPr>
          <w:rFonts w:hint="eastAsia" w:ascii="仿宋_GB2312" w:hAnsi="仿宋" w:eastAsia="仿宋_GB2312" w:cs="仿宋"/>
          <w:color w:val="auto"/>
          <w:sz w:val="32"/>
          <w:szCs w:val="32"/>
        </w:rPr>
        <w:t>：乙方</w:t>
      </w:r>
      <w:r>
        <w:rPr>
          <w:rFonts w:hint="eastAsia" w:ascii="仿宋_GB2312" w:hAnsi="仿宋" w:eastAsia="仿宋_GB2312" w:cs="仿宋"/>
          <w:color w:val="auto"/>
          <w:sz w:val="32"/>
          <w:szCs w:val="32"/>
          <w:lang w:val="en-US" w:eastAsia="zh-CN"/>
        </w:rPr>
        <w:t>至少</w:t>
      </w:r>
      <w:r>
        <w:rPr>
          <w:rFonts w:hint="eastAsia" w:ascii="仿宋_GB2312" w:hAnsi="仿宋" w:eastAsia="仿宋_GB2312" w:cs="仿宋"/>
          <w:color w:val="auto"/>
          <w:sz w:val="32"/>
          <w:szCs w:val="32"/>
        </w:rPr>
        <w:t>派</w:t>
      </w:r>
      <w:r>
        <w:rPr>
          <w:rFonts w:hint="eastAsia" w:ascii="仿宋_GB2312" w:hAnsi="仿宋" w:eastAsia="仿宋_GB2312" w:cs="仿宋"/>
          <w:color w:val="auto"/>
          <w:sz w:val="32"/>
          <w:szCs w:val="32"/>
          <w:u w:val="single"/>
          <w:lang w:val="en-US" w:eastAsia="zh-CN"/>
        </w:rPr>
        <w:t xml:space="preserve"> 3 </w:t>
      </w:r>
      <w:r>
        <w:rPr>
          <w:rFonts w:hint="eastAsia" w:ascii="仿宋_GB2312" w:hAnsi="仿宋" w:eastAsia="仿宋_GB2312" w:cs="仿宋"/>
          <w:color w:val="auto"/>
          <w:sz w:val="32"/>
          <w:szCs w:val="32"/>
        </w:rPr>
        <w:t>名技术服务人员，</w:t>
      </w:r>
      <w:r>
        <w:rPr>
          <w:rFonts w:hint="eastAsia" w:ascii="仿宋_GB2312" w:hAnsi="仿宋" w:eastAsia="仿宋_GB2312" w:cs="仿宋"/>
          <w:color w:val="auto"/>
          <w:sz w:val="32"/>
          <w:szCs w:val="32"/>
          <w:lang w:val="en-US" w:eastAsia="zh-CN"/>
        </w:rPr>
        <w:t>驻</w:t>
      </w:r>
      <w:r>
        <w:rPr>
          <w:rFonts w:hint="eastAsia" w:ascii="仿宋_GB2312" w:hAnsi="仿宋" w:eastAsia="仿宋_GB2312" w:cs="仿宋"/>
          <w:color w:val="auto"/>
          <w:sz w:val="32"/>
          <w:szCs w:val="32"/>
        </w:rPr>
        <w:t>场</w:t>
      </w:r>
      <w:r>
        <w:rPr>
          <w:rFonts w:hint="eastAsia" w:ascii="仿宋_GB2312" w:hAnsi="仿宋" w:eastAsia="仿宋_GB2312" w:cs="仿宋"/>
          <w:color w:val="auto"/>
          <w:sz w:val="32"/>
          <w:szCs w:val="32"/>
          <w:lang w:val="en-US" w:eastAsia="zh-CN"/>
        </w:rPr>
        <w:t>开展</w:t>
      </w:r>
      <w:r>
        <w:rPr>
          <w:rFonts w:hint="eastAsia" w:ascii="仿宋_GB2312" w:hAnsi="仿宋" w:eastAsia="仿宋_GB2312" w:cs="仿宋"/>
          <w:color w:val="auto"/>
          <w:sz w:val="32"/>
          <w:szCs w:val="32"/>
        </w:rPr>
        <w:t>服务。</w:t>
      </w:r>
    </w:p>
    <w:p w14:paraId="712A2560">
      <w:pPr>
        <w:pStyle w:val="14"/>
        <w:ind w:firstLine="68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乙方指派人员联系方式：</w:t>
      </w:r>
    </w:p>
    <w:p w14:paraId="75CBDA1D">
      <w:pPr>
        <w:spacing w:line="560" w:lineRule="exact"/>
        <w:ind w:firstLine="640" w:firstLineChars="200"/>
        <w:outlineLvl w:val="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四、项目建设内容</w:t>
      </w:r>
    </w:p>
    <w:p w14:paraId="236343B0">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具体项目建设内容详见本合同第一条和任务书。</w:t>
      </w:r>
    </w:p>
    <w:p w14:paraId="52A5F4AD">
      <w:pPr>
        <w:spacing w:line="560" w:lineRule="exact"/>
        <w:ind w:firstLine="640" w:firstLineChars="200"/>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五、检验、测试与安装</w:t>
      </w:r>
    </w:p>
    <w:p w14:paraId="27F0E074">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（一）甲方或其代表应有权检验和测试采购的产品，以确认产品是否符合合同型号参数的要求，并且不承担额外的费用。</w:t>
      </w:r>
    </w:p>
    <w:p w14:paraId="4AD7030B">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二）检验和测试可以在乙方或制造厂的所在地、交付地点进行。如果在乙方或制造厂的所在地进行，乙方应为甲方的检验人员免费提供工作条件和涉及的差旅费，包括但不限于必要的技术资料、检测工具和仪器。</w:t>
      </w:r>
    </w:p>
    <w:p w14:paraId="42EFFA43">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（三）产品到达安装现场后，乙方按有关技术规程的规定负责存放和保管，如乙方有特殊要求，应向甲方及早提出。</w:t>
      </w:r>
    </w:p>
    <w:p w14:paraId="38BED15E">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（四）对于所有产品，乙方的安装工程师在到现场安装之前，应针对产品安装需要安装现场的具体要求与甲方进行协商确定。</w:t>
      </w:r>
    </w:p>
    <w:p w14:paraId="6055A856">
      <w:pPr>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（五）如果由于甲方的原因而导致交付不能按时进行，乙方将按延期时间顺延交付。</w:t>
      </w:r>
    </w:p>
    <w:p w14:paraId="26B066BD">
      <w:pPr>
        <w:numPr>
          <w:ilvl w:val="255"/>
          <w:numId w:val="0"/>
        </w:numPr>
        <w:kinsoku w:val="0"/>
        <w:overflowPunct w:val="0"/>
        <w:spacing w:line="560" w:lineRule="exact"/>
        <w:ind w:firstLine="640" w:firstLineChars="200"/>
        <w:outlineLvl w:val="0"/>
        <w:rPr>
          <w:rFonts w:ascii="黑体" w:hAnsi="黑体" w:eastAsia="黑体" w:cs="黑体"/>
          <w:sz w:val="32"/>
          <w:szCs w:val="32"/>
          <w:shd w:val="clear" w:color="auto" w:fill="FFFFFF"/>
          <w:lang w:bidi="ar"/>
        </w:rPr>
      </w:pPr>
      <w:r>
        <w:rPr>
          <w:rFonts w:hint="eastAsia" w:ascii="黑体" w:hAnsi="黑体" w:eastAsia="黑体" w:cs="黑体"/>
          <w:sz w:val="32"/>
          <w:szCs w:val="32"/>
          <w:shd w:val="clear" w:color="auto" w:fill="FFFFFF"/>
          <w:lang w:eastAsia="zh-CN" w:bidi="ar"/>
        </w:rPr>
        <w:t>六</w:t>
      </w:r>
      <w:r>
        <w:rPr>
          <w:rFonts w:hint="eastAsia" w:ascii="黑体" w:hAnsi="黑体" w:eastAsia="黑体" w:cs="黑体"/>
          <w:sz w:val="32"/>
          <w:szCs w:val="32"/>
          <w:shd w:val="clear" w:color="auto" w:fill="FFFFFF"/>
          <w:lang w:bidi="ar"/>
        </w:rPr>
        <w:t>、验收、保修和技术服务</w:t>
      </w:r>
    </w:p>
    <w:p w14:paraId="6B1BD57D">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（一）甲方在</w:t>
      </w:r>
      <w:r>
        <w:rPr>
          <w:rFonts w:hint="eastAsia" w:ascii="仿宋_GB2312" w:hAnsi="仿宋" w:eastAsia="仿宋_GB2312" w:cs="仿宋"/>
          <w:kern w:val="2"/>
          <w:sz w:val="32"/>
          <w:szCs w:val="32"/>
          <w:lang w:eastAsia="zh-CN"/>
        </w:rPr>
        <w:t>产品在完成安装并正常运行</w:t>
      </w:r>
      <w:r>
        <w:rPr>
          <w:rFonts w:hint="eastAsia" w:ascii="仿宋_GB2312" w:hAnsi="仿宋" w:eastAsia="仿宋_GB2312" w:cs="仿宋"/>
          <w:kern w:val="2"/>
          <w:sz w:val="32"/>
          <w:szCs w:val="32"/>
          <w:u w:val="single"/>
          <w:lang w:val="en-US" w:eastAsia="zh-CN"/>
        </w:rPr>
        <w:t>90</w:t>
      </w:r>
      <w:r>
        <w:rPr>
          <w:rFonts w:hint="eastAsia" w:ascii="仿宋_GB2312" w:hAnsi="仿宋" w:eastAsia="仿宋_GB2312" w:cs="仿宋"/>
          <w:kern w:val="2"/>
          <w:sz w:val="32"/>
          <w:szCs w:val="32"/>
          <w:lang w:val="en-US" w:eastAsia="zh-CN"/>
        </w:rPr>
        <w:t>日</w:t>
      </w:r>
      <w:r>
        <w:rPr>
          <w:rFonts w:hint="eastAsia" w:ascii="仿宋_GB2312" w:hAnsi="仿宋" w:eastAsia="仿宋_GB2312" w:cs="仿宋"/>
          <w:kern w:val="2"/>
          <w:sz w:val="32"/>
          <w:szCs w:val="32"/>
        </w:rPr>
        <w:t>后组织验收</w:t>
      </w:r>
      <w:r>
        <w:rPr>
          <w:rFonts w:hint="eastAsia" w:ascii="仿宋_GB2312" w:hAnsi="仿宋" w:eastAsia="仿宋_GB2312" w:cs="仿宋"/>
          <w:kern w:val="2"/>
          <w:sz w:val="32"/>
          <w:szCs w:val="32"/>
          <w:lang w:eastAsia="zh-CN"/>
        </w:rPr>
        <w:t>并出具甲乙双方加盖公章的验收报告</w:t>
      </w:r>
      <w:r>
        <w:rPr>
          <w:rFonts w:hint="eastAsia" w:ascii="仿宋_GB2312" w:hAnsi="仿宋" w:eastAsia="仿宋_GB2312" w:cs="仿宋"/>
          <w:kern w:val="2"/>
          <w:sz w:val="32"/>
          <w:szCs w:val="32"/>
        </w:rPr>
        <w:t>，在验收中如发现产品名称、规格型号、数量、质量等与本合同约定原厂产品不符的，乙方应予及时补齐或换货，直至验收合格（详见验收标准）；但该期限不能超过本合同约定的</w:t>
      </w:r>
      <w:r>
        <w:rPr>
          <w:rFonts w:hint="eastAsia" w:ascii="仿宋_GB2312" w:hAnsi="仿宋" w:eastAsia="仿宋_GB2312" w:cs="仿宋"/>
          <w:kern w:val="2"/>
          <w:sz w:val="32"/>
          <w:szCs w:val="32"/>
          <w:lang w:eastAsia="zh-CN"/>
        </w:rPr>
        <w:t>交付</w:t>
      </w:r>
      <w:r>
        <w:rPr>
          <w:rFonts w:hint="eastAsia" w:ascii="仿宋_GB2312" w:hAnsi="仿宋" w:eastAsia="仿宋_GB2312" w:cs="仿宋"/>
          <w:kern w:val="2"/>
          <w:sz w:val="32"/>
          <w:szCs w:val="32"/>
        </w:rPr>
        <w:t>时间，否则按违约处理。如乙方</w:t>
      </w:r>
      <w:r>
        <w:rPr>
          <w:rFonts w:hint="eastAsia" w:ascii="仿宋_GB2312" w:hAnsi="仿宋" w:eastAsia="仿宋_GB2312" w:cs="仿宋"/>
          <w:kern w:val="2"/>
          <w:sz w:val="32"/>
          <w:szCs w:val="32"/>
          <w:lang w:val="en-US" w:eastAsia="zh-CN"/>
        </w:rPr>
        <w:t>3次</w:t>
      </w:r>
      <w:r>
        <w:rPr>
          <w:rFonts w:hint="eastAsia" w:ascii="仿宋_GB2312" w:hAnsi="仿宋" w:eastAsia="仿宋_GB2312" w:cs="仿宋"/>
          <w:kern w:val="2"/>
          <w:sz w:val="32"/>
          <w:szCs w:val="32"/>
        </w:rPr>
        <w:t>换货仍未能验收合格，甲方有权选择退货并追究乙方的违约责任。</w:t>
      </w:r>
      <w:r>
        <w:rPr>
          <w:rFonts w:hint="eastAsia" w:ascii="仿宋_GB2312" w:hAnsi="仿宋" w:eastAsia="仿宋_GB2312" w:cs="仿宋"/>
          <w:kern w:val="2"/>
          <w:sz w:val="32"/>
          <w:szCs w:val="32"/>
          <w:lang w:eastAsia="zh-CN"/>
        </w:rPr>
        <w:t>产品</w:t>
      </w:r>
      <w:r>
        <w:rPr>
          <w:rFonts w:hint="eastAsia" w:ascii="仿宋_GB2312" w:hAnsi="仿宋" w:eastAsia="仿宋_GB2312" w:cs="仿宋"/>
          <w:kern w:val="2"/>
          <w:sz w:val="32"/>
          <w:szCs w:val="32"/>
        </w:rPr>
        <w:t>当面验收合格的，乙方须负责现场调试，保证</w:t>
      </w:r>
      <w:r>
        <w:rPr>
          <w:rFonts w:hint="eastAsia" w:ascii="仿宋_GB2312" w:hAnsi="仿宋" w:eastAsia="仿宋_GB2312" w:cs="仿宋"/>
          <w:kern w:val="2"/>
          <w:sz w:val="32"/>
          <w:szCs w:val="32"/>
          <w:lang w:eastAsia="zh-CN"/>
        </w:rPr>
        <w:t>产品</w:t>
      </w:r>
      <w:r>
        <w:rPr>
          <w:rFonts w:hint="eastAsia" w:ascii="仿宋_GB2312" w:hAnsi="仿宋" w:eastAsia="仿宋_GB2312" w:cs="仿宋"/>
          <w:kern w:val="2"/>
          <w:sz w:val="32"/>
          <w:szCs w:val="32"/>
        </w:rPr>
        <w:t>正常运行。</w:t>
      </w:r>
    </w:p>
    <w:p w14:paraId="4AA7C334">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（二）</w:t>
      </w:r>
      <w:r>
        <w:rPr>
          <w:rFonts w:hint="eastAsia" w:ascii="仿宋_GB2312" w:hAnsi="仿宋" w:eastAsia="仿宋_GB2312" w:cs="仿宋"/>
          <w:kern w:val="2"/>
          <w:sz w:val="32"/>
          <w:szCs w:val="32"/>
          <w:lang w:eastAsia="zh-CN"/>
        </w:rPr>
        <w:t>正式验收之后，乙方需</w:t>
      </w:r>
      <w:r>
        <w:rPr>
          <w:rFonts w:hint="eastAsia" w:ascii="仿宋_GB2312" w:hAnsi="仿宋" w:eastAsia="仿宋_GB2312" w:cs="仿宋"/>
          <w:kern w:val="2"/>
          <w:sz w:val="32"/>
          <w:szCs w:val="32"/>
        </w:rPr>
        <w:t>按照</w:t>
      </w:r>
      <w:r>
        <w:rPr>
          <w:rFonts w:hint="eastAsia" w:ascii="仿宋_GB2312" w:hAnsi="仿宋" w:eastAsia="仿宋_GB2312" w:cs="仿宋"/>
          <w:kern w:val="2"/>
          <w:sz w:val="32"/>
          <w:szCs w:val="32"/>
          <w:lang w:eastAsia="zh-CN"/>
        </w:rPr>
        <w:t>“</w:t>
      </w:r>
      <w:r>
        <w:rPr>
          <w:rFonts w:hint="eastAsia" w:ascii="仿宋_GB2312" w:hAnsi="仿宋_GB2312" w:eastAsia="仿宋_GB2312" w:cs="仿宋_GB2312"/>
          <w:kern w:val="2"/>
          <w:sz w:val="32"/>
          <w:szCs w:val="32"/>
          <w:lang w:eastAsia="zh-CN"/>
        </w:rPr>
        <w:t>任务书</w:t>
      </w:r>
      <w:r>
        <w:rPr>
          <w:rFonts w:hint="eastAsia" w:ascii="仿宋_GB2312" w:hAnsi="仿宋" w:eastAsia="仿宋_GB2312" w:cs="仿宋"/>
          <w:kern w:val="2"/>
          <w:sz w:val="32"/>
          <w:szCs w:val="32"/>
          <w:lang w:eastAsia="zh-CN"/>
        </w:rPr>
        <w:t>”要求提供售后</w:t>
      </w:r>
      <w:r>
        <w:rPr>
          <w:rFonts w:hint="eastAsia" w:ascii="仿宋_GB2312" w:hAnsi="仿宋" w:eastAsia="仿宋_GB2312" w:cs="仿宋"/>
          <w:kern w:val="2"/>
          <w:sz w:val="32"/>
          <w:szCs w:val="32"/>
        </w:rPr>
        <w:t>服务</w:t>
      </w:r>
      <w:r>
        <w:rPr>
          <w:rFonts w:hint="eastAsia" w:ascii="仿宋_GB2312" w:hAnsi="仿宋" w:eastAsia="仿宋_GB2312" w:cs="仿宋"/>
          <w:kern w:val="2"/>
          <w:sz w:val="32"/>
          <w:szCs w:val="32"/>
          <w:lang w:eastAsia="zh-CN"/>
        </w:rPr>
        <w:t>，乙方接到甲方书面通知后</w:t>
      </w:r>
      <w:r>
        <w:rPr>
          <w:rFonts w:hint="eastAsia" w:ascii="仿宋_GB2312" w:hAnsi="仿宋" w:eastAsia="仿宋_GB2312" w:cs="仿宋"/>
          <w:kern w:val="2"/>
          <w:sz w:val="32"/>
          <w:szCs w:val="32"/>
          <w:lang w:val="en-US" w:eastAsia="zh-CN"/>
        </w:rPr>
        <w:t>1个工作日内未完成售后服务</w:t>
      </w:r>
      <w:r>
        <w:rPr>
          <w:rFonts w:hint="eastAsia" w:ascii="仿宋_GB2312" w:hAnsi="仿宋" w:eastAsia="仿宋_GB2312" w:cs="仿宋"/>
          <w:kern w:val="2"/>
          <w:sz w:val="32"/>
          <w:szCs w:val="32"/>
          <w:lang w:eastAsia="zh-CN"/>
        </w:rPr>
        <w:t>，视为乙方授权甲方另行安排第三方提供该服务，由此产生的售后费用由乙方承担。</w:t>
      </w:r>
    </w:p>
    <w:p w14:paraId="50BB04A9">
      <w:pPr>
        <w:spacing w:line="560" w:lineRule="exact"/>
        <w:ind w:firstLine="640" w:firstLineChars="200"/>
        <w:rPr>
          <w:rFonts w:hint="eastAsia" w:ascii="仿宋_GB2312" w:hAnsi="仿宋" w:eastAsia="仿宋_GB2312" w:cs="仿宋"/>
          <w:kern w:val="2"/>
          <w:sz w:val="32"/>
          <w:szCs w:val="32"/>
        </w:rPr>
      </w:pPr>
      <w:r>
        <w:rPr>
          <w:rFonts w:hint="eastAsia" w:ascii="仿宋_GB2312" w:hAnsi="仿宋" w:eastAsia="仿宋_GB2312" w:cs="仿宋"/>
          <w:kern w:val="2"/>
          <w:sz w:val="32"/>
          <w:szCs w:val="32"/>
        </w:rPr>
        <w:t>（三）质保期内乙方免费提供有关技术咨询，提供7*24小时响应服务。</w:t>
      </w:r>
    </w:p>
    <w:p w14:paraId="3A1ED6DE">
      <w:pPr>
        <w:spacing w:line="560" w:lineRule="exact"/>
        <w:ind w:firstLine="640" w:firstLineChars="200"/>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七、培训要求</w:t>
      </w:r>
    </w:p>
    <w:p w14:paraId="0E9D4C7A">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乙方必须提供但不限于以下培训要求：</w:t>
      </w:r>
    </w:p>
    <w:p w14:paraId="3972982E">
      <w:pPr>
        <w:spacing w:line="560" w:lineRule="exact"/>
        <w:ind w:firstLine="640" w:firstLineChars="20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val="zh-CN" w:eastAsia="zh-CN"/>
        </w:rPr>
        <w:t>乙方需提供不少于</w:t>
      </w:r>
      <w:r>
        <w:rPr>
          <w:rFonts w:hint="eastAsia" w:ascii="仿宋_GB2312" w:hAnsi="仿宋_GB2312" w:eastAsia="仿宋_GB2312" w:cs="仿宋_GB2312"/>
          <w:sz w:val="32"/>
          <w:szCs w:val="32"/>
          <w:highlight w:val="none"/>
          <w:u w:val="single"/>
          <w:lang w:val="en-US" w:eastAsia="zh-CN"/>
        </w:rPr>
        <w:t xml:space="preserve"> 2 </w:t>
      </w:r>
      <w:r>
        <w:rPr>
          <w:rFonts w:hint="eastAsia" w:ascii="仿宋_GB2312" w:hAnsi="仿宋_GB2312" w:eastAsia="仿宋_GB2312" w:cs="仿宋_GB2312"/>
          <w:sz w:val="32"/>
          <w:szCs w:val="32"/>
          <w:highlight w:val="none"/>
          <w:lang w:val="zh-CN" w:eastAsia="zh-CN"/>
        </w:rPr>
        <w:t>天的现场用户培训；</w:t>
      </w:r>
    </w:p>
    <w:p w14:paraId="3DAD6111">
      <w:pPr>
        <w:spacing w:line="560" w:lineRule="exact"/>
        <w:ind w:firstLine="640" w:firstLineChars="20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val="zh-CN" w:eastAsia="zh-CN"/>
        </w:rPr>
        <w:t>根据本项目的投标响应文件采购的</w:t>
      </w:r>
      <w:r>
        <w:rPr>
          <w:rFonts w:hint="eastAsia" w:ascii="仿宋_GB2312" w:hAnsi="仿宋_GB2312" w:eastAsia="仿宋_GB2312" w:cs="仿宋_GB2312"/>
          <w:sz w:val="32"/>
          <w:szCs w:val="32"/>
          <w:highlight w:val="none"/>
          <w:lang w:val="en-US" w:eastAsia="zh-CN"/>
        </w:rPr>
        <w:t>产品</w:t>
      </w:r>
      <w:r>
        <w:rPr>
          <w:rFonts w:hint="eastAsia" w:ascii="仿宋_GB2312" w:hAnsi="仿宋_GB2312" w:eastAsia="仿宋_GB2312" w:cs="仿宋_GB2312"/>
          <w:sz w:val="32"/>
          <w:szCs w:val="32"/>
          <w:highlight w:val="none"/>
          <w:lang w:val="zh-CN" w:eastAsia="zh-CN"/>
        </w:rPr>
        <w:t>及采用的相关技术，乙方需提出全面的培训计划和课程内容安排，并在合同签订后征得甲方同意后实施；</w:t>
      </w:r>
    </w:p>
    <w:p w14:paraId="6DEACB0A">
      <w:pPr>
        <w:spacing w:line="560" w:lineRule="exact"/>
        <w:ind w:firstLine="640" w:firstLineChars="20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val="zh-CN" w:eastAsia="zh-CN"/>
        </w:rPr>
        <w:t>列出具体计划（应包含培训地点、人数、天数）并安排实施；</w:t>
      </w:r>
    </w:p>
    <w:p w14:paraId="1EC13833">
      <w:pPr>
        <w:spacing w:line="560" w:lineRule="exact"/>
        <w:ind w:firstLine="640" w:firstLineChars="200"/>
        <w:rPr>
          <w:rFonts w:hint="eastAsia" w:ascii="仿宋" w:hAnsi="仿宋" w:eastAsia="仿宋" w:cs="仿宋"/>
          <w:sz w:val="24"/>
          <w:highlight w:val="none"/>
          <w:lang w:val="zh-CN"/>
        </w:rPr>
      </w:pP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val="zh-CN" w:eastAsia="zh-CN"/>
        </w:rPr>
        <w:t xml:space="preserve">培训应包括所有采购产品的安装和维护、常见故障现象及诊断、常见的问题及解决办法等。 </w:t>
      </w:r>
      <w:r>
        <w:rPr>
          <w:rFonts w:hint="eastAsia" w:ascii="仿宋" w:hAnsi="仿宋" w:eastAsia="仿宋" w:cs="仿宋"/>
          <w:b w:val="0"/>
          <w:bCs w:val="0"/>
          <w:i w:val="0"/>
          <w:iCs w:val="0"/>
          <w:kern w:val="2"/>
          <w:sz w:val="24"/>
          <w:szCs w:val="24"/>
          <w:highlight w:val="none"/>
          <w:u w:val="none"/>
          <w:lang w:val="zh-CN" w:eastAsia="zh-CN" w:bidi="ar-SA"/>
        </w:rPr>
        <w:t xml:space="preserve"> </w:t>
      </w:r>
    </w:p>
    <w:p w14:paraId="1E0D6686">
      <w:pPr>
        <w:spacing w:line="560" w:lineRule="exact"/>
        <w:ind w:firstLine="640" w:firstLineChars="200"/>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八、双方权利和义务</w:t>
      </w:r>
    </w:p>
    <w:p w14:paraId="56863C99">
      <w:pPr>
        <w:spacing w:line="560" w:lineRule="exact"/>
        <w:ind w:firstLine="640" w:firstLineChars="200"/>
        <w:rPr>
          <w:rFonts w:hint="eastAsia" w:ascii="楷体_GB2312" w:hAnsi="楷体_GB2312" w:eastAsia="楷体_GB2312" w:cs="楷体_GB2312"/>
          <w:sz w:val="32"/>
          <w:szCs w:val="32"/>
          <w:highlight w:val="none"/>
          <w:lang w:val="zh-CN" w:eastAsia="zh-CN"/>
        </w:rPr>
      </w:pPr>
      <w:r>
        <w:rPr>
          <w:rFonts w:hint="eastAsia" w:ascii="楷体_GB2312" w:hAnsi="楷体_GB2312" w:eastAsia="楷体_GB2312" w:cs="楷体_GB2312"/>
          <w:sz w:val="32"/>
          <w:szCs w:val="32"/>
          <w:highlight w:val="none"/>
          <w:lang w:val="zh-CN" w:eastAsia="zh-CN"/>
        </w:rPr>
        <w:t>（一）甲方的权利和义务</w:t>
      </w:r>
    </w:p>
    <w:p w14:paraId="3EE24E4B">
      <w:pPr>
        <w:spacing w:line="560" w:lineRule="exact"/>
        <w:ind w:firstLine="640" w:firstLineChars="20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负责合同签订后项目实施的协调管理工作（如与乙方的具体联系和衔结，现场安装调试时配备人员进行监管控制）；</w:t>
      </w:r>
    </w:p>
    <w:p w14:paraId="36B763F6">
      <w:pPr>
        <w:spacing w:line="560" w:lineRule="exact"/>
        <w:ind w:firstLine="640" w:firstLineChars="20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CN" w:eastAsia="zh-CN"/>
        </w:rPr>
        <w:t>负责提供项目中的产品安装调试所必须的场地和环境；</w:t>
      </w:r>
    </w:p>
    <w:p w14:paraId="00B1EE59">
      <w:pPr>
        <w:spacing w:line="560" w:lineRule="exact"/>
        <w:ind w:firstLine="640" w:firstLineChars="20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zh-CN" w:eastAsia="zh-CN"/>
        </w:rPr>
        <w:t>负责组织成立验收小组对项目中的产品进行验收并签署验收报告；</w:t>
      </w:r>
    </w:p>
    <w:p w14:paraId="79B5CAD3">
      <w:pPr>
        <w:spacing w:line="560" w:lineRule="exact"/>
        <w:ind w:firstLine="640" w:firstLineChars="20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zh-CN" w:eastAsia="zh-CN"/>
        </w:rPr>
        <w:t>按合同规定享有乙方提供的产品服务</w:t>
      </w:r>
      <w:r>
        <w:rPr>
          <w:rFonts w:hint="eastAsia" w:ascii="仿宋_GB2312" w:hAnsi="仿宋_GB2312" w:eastAsia="仿宋_GB2312" w:cs="仿宋_GB2312"/>
          <w:sz w:val="32"/>
          <w:szCs w:val="32"/>
          <w:highlight w:val="none"/>
          <w:lang w:val="en-US" w:eastAsia="zh-CN"/>
        </w:rPr>
        <w:t>;</w:t>
      </w:r>
    </w:p>
    <w:p w14:paraId="2386C3BA">
      <w:pPr>
        <w:spacing w:line="560" w:lineRule="exact"/>
        <w:ind w:firstLine="640" w:firstLineChars="20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zh-CN" w:eastAsia="zh-CN"/>
        </w:rPr>
        <w:t>按照合同约定向乙方支付合同款项。</w:t>
      </w:r>
    </w:p>
    <w:p w14:paraId="67A86A72">
      <w:pPr>
        <w:spacing w:line="560" w:lineRule="exact"/>
        <w:ind w:firstLine="640" w:firstLineChars="200"/>
        <w:rPr>
          <w:rFonts w:hint="eastAsia" w:ascii="楷体_GB2312" w:hAnsi="楷体_GB2312" w:eastAsia="楷体_GB2312" w:cs="楷体_GB2312"/>
          <w:sz w:val="32"/>
          <w:szCs w:val="32"/>
          <w:highlight w:val="none"/>
          <w:lang w:val="zh-CN" w:eastAsia="zh-CN"/>
        </w:rPr>
      </w:pPr>
      <w:r>
        <w:rPr>
          <w:rFonts w:hint="eastAsia" w:ascii="楷体_GB2312" w:hAnsi="楷体_GB2312" w:eastAsia="楷体_GB2312" w:cs="楷体_GB2312"/>
          <w:sz w:val="32"/>
          <w:szCs w:val="32"/>
          <w:highlight w:val="none"/>
          <w:lang w:val="zh-CN" w:eastAsia="zh-CN"/>
        </w:rPr>
        <w:t>（二）乙方的权利和义务</w:t>
      </w:r>
    </w:p>
    <w:p w14:paraId="344F2B7C">
      <w:pPr>
        <w:spacing w:line="560" w:lineRule="exact"/>
        <w:ind w:firstLine="640" w:firstLineChars="20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乙方保证提供的产品是全新（包括零部件）、符合相关规定、具有国家有关部门注册并符合国家质量检测标准（进口产品具有国家有关部门完整手续）和产品出厂标准的设备</w:t>
      </w:r>
      <w:r>
        <w:rPr>
          <w:rFonts w:hint="eastAsia" w:ascii="仿宋_GB2312" w:hAnsi="仿宋_GB2312" w:eastAsia="仿宋_GB2312" w:cs="仿宋_GB2312"/>
          <w:sz w:val="32"/>
          <w:szCs w:val="32"/>
          <w:highlight w:val="none"/>
          <w:lang w:val="en-US" w:eastAsia="zh-CN"/>
        </w:rPr>
        <w:t>;</w:t>
      </w:r>
    </w:p>
    <w:p w14:paraId="6D8E2F5E">
      <w:pPr>
        <w:spacing w:line="560" w:lineRule="exact"/>
        <w:ind w:firstLine="640" w:firstLineChars="20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CN" w:eastAsia="zh-CN"/>
        </w:rPr>
        <w:t>按照合同约定向甲方提供服务；</w:t>
      </w:r>
    </w:p>
    <w:p w14:paraId="5C09AA57">
      <w:pPr>
        <w:pStyle w:val="14"/>
        <w:rPr>
          <w:rFonts w:hint="default"/>
          <w:lang w:val="en-US" w:eastAsia="zh-CN"/>
        </w:rPr>
      </w:pPr>
      <w:r>
        <w:rPr>
          <w:rFonts w:hint="eastAsia" w:ascii="仿宋_GB2312" w:hAnsi="仿宋_GB2312" w:eastAsia="仿宋_GB2312" w:cs="仿宋_GB2312"/>
          <w:sz w:val="32"/>
          <w:szCs w:val="32"/>
          <w:highlight w:val="none"/>
          <w:lang w:val="en-US" w:eastAsia="zh-CN"/>
        </w:rPr>
        <w:t xml:space="preserve">   3. 按合同约定保证甲方能够正常使用产品；</w:t>
      </w:r>
    </w:p>
    <w:p w14:paraId="6D1B2F05">
      <w:pPr>
        <w:spacing w:line="560" w:lineRule="exact"/>
        <w:ind w:firstLine="640" w:firstLineChars="20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zh-CN" w:eastAsia="zh-CN"/>
        </w:rPr>
        <w:t>配合甲方共同进行设备和项目的验收。</w:t>
      </w:r>
    </w:p>
    <w:p w14:paraId="2C1BA887">
      <w:pPr>
        <w:widowControl/>
        <w:kinsoku w:val="0"/>
        <w:overflowPunct w:val="0"/>
        <w:spacing w:line="560" w:lineRule="exact"/>
        <w:ind w:firstLine="640" w:firstLineChars="200"/>
        <w:outlineLvl w:val="0"/>
        <w:rPr>
          <w:rFonts w:ascii="仿宋_GB2312" w:hAnsi="仿宋" w:eastAsia="仿宋_GB2312" w:cs="仿宋"/>
          <w:kern w:val="2"/>
          <w:sz w:val="32"/>
          <w:szCs w:val="32"/>
        </w:rPr>
      </w:pPr>
      <w:r>
        <w:rPr>
          <w:rFonts w:hint="eastAsia" w:ascii="黑体" w:hAnsi="黑体" w:eastAsia="黑体" w:cs="黑体"/>
          <w:sz w:val="32"/>
          <w:szCs w:val="32"/>
          <w:shd w:val="clear" w:color="auto" w:fill="FFFFFF"/>
          <w:lang w:eastAsia="zh-CN" w:bidi="ar"/>
        </w:rPr>
        <w:t>九</w:t>
      </w:r>
      <w:r>
        <w:rPr>
          <w:rFonts w:hint="eastAsia" w:ascii="黑体" w:hAnsi="黑体" w:eastAsia="黑体" w:cs="黑体"/>
          <w:sz w:val="32"/>
          <w:szCs w:val="32"/>
          <w:shd w:val="clear" w:color="auto" w:fill="FFFFFF"/>
          <w:lang w:bidi="ar"/>
        </w:rPr>
        <w:t>、违约责任及侵权处理</w:t>
      </w:r>
    </w:p>
    <w:p w14:paraId="211568E6">
      <w:pPr>
        <w:spacing w:line="560" w:lineRule="exact"/>
        <w:ind w:firstLine="640" w:firstLineChars="200"/>
        <w:rPr>
          <w:rFonts w:ascii="仿宋_GB2312" w:hAnsi="仿宋" w:eastAsia="仿宋_GB2312" w:cs="仿宋"/>
          <w:kern w:val="2"/>
          <w:sz w:val="32"/>
          <w:szCs w:val="32"/>
          <w:highlight w:val="none"/>
        </w:rPr>
      </w:pPr>
      <w:r>
        <w:rPr>
          <w:rFonts w:hint="eastAsia" w:ascii="仿宋_GB2312" w:hAnsi="仿宋" w:eastAsia="仿宋_GB2312" w:cs="仿宋"/>
          <w:kern w:val="2"/>
          <w:sz w:val="32"/>
          <w:szCs w:val="32"/>
        </w:rPr>
        <w:t>（一）乙方延</w:t>
      </w:r>
      <w:r>
        <w:rPr>
          <w:rFonts w:hint="eastAsia" w:ascii="仿宋_GB2312" w:hAnsi="仿宋" w:eastAsia="仿宋_GB2312" w:cs="仿宋"/>
          <w:kern w:val="2"/>
          <w:sz w:val="32"/>
          <w:szCs w:val="32"/>
          <w:highlight w:val="none"/>
        </w:rPr>
        <w:t>迟</w:t>
      </w:r>
      <w:r>
        <w:rPr>
          <w:rFonts w:hint="eastAsia" w:ascii="仿宋_GB2312" w:hAnsi="仿宋" w:eastAsia="仿宋_GB2312" w:cs="仿宋"/>
          <w:kern w:val="2"/>
          <w:sz w:val="32"/>
          <w:szCs w:val="32"/>
          <w:highlight w:val="none"/>
          <w:lang w:eastAsia="zh-CN"/>
        </w:rPr>
        <w:t>交付</w:t>
      </w:r>
      <w:r>
        <w:rPr>
          <w:rFonts w:hint="eastAsia" w:ascii="仿宋_GB2312" w:hAnsi="仿宋" w:eastAsia="仿宋_GB2312" w:cs="仿宋"/>
          <w:kern w:val="2"/>
          <w:sz w:val="32"/>
          <w:szCs w:val="32"/>
          <w:highlight w:val="none"/>
        </w:rPr>
        <w:t>，则自超过合同约定之日起按违约金额的0.1%每日向甲方支付违约金，违约金累计不超过合同已供</w:t>
      </w:r>
      <w:r>
        <w:rPr>
          <w:rFonts w:hint="eastAsia" w:ascii="仿宋_GB2312" w:hAnsi="仿宋" w:eastAsia="仿宋_GB2312" w:cs="仿宋"/>
          <w:kern w:val="2"/>
          <w:sz w:val="32"/>
          <w:szCs w:val="32"/>
          <w:highlight w:val="none"/>
          <w:lang w:eastAsia="zh-CN"/>
        </w:rPr>
        <w:t>产品</w:t>
      </w:r>
      <w:r>
        <w:rPr>
          <w:rFonts w:hint="eastAsia" w:ascii="仿宋_GB2312" w:hAnsi="仿宋" w:eastAsia="仿宋_GB2312" w:cs="仿宋"/>
          <w:kern w:val="2"/>
          <w:sz w:val="32"/>
          <w:szCs w:val="32"/>
          <w:highlight w:val="none"/>
        </w:rPr>
        <w:t>金额的5%。</w:t>
      </w:r>
    </w:p>
    <w:p w14:paraId="53E46A26">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highlight w:val="none"/>
        </w:rPr>
        <w:t>（二）乙方应按照合同约定的品牌、</w:t>
      </w:r>
      <w:r>
        <w:rPr>
          <w:rFonts w:hint="eastAsia" w:ascii="仿宋_GB2312" w:hAnsi="仿宋" w:eastAsia="仿宋_GB2312" w:cs="仿宋"/>
          <w:kern w:val="2"/>
          <w:sz w:val="32"/>
          <w:szCs w:val="32"/>
          <w:highlight w:val="none"/>
          <w:lang w:eastAsia="zh-CN"/>
        </w:rPr>
        <w:t>型号、</w:t>
      </w:r>
      <w:r>
        <w:rPr>
          <w:rFonts w:hint="eastAsia" w:ascii="仿宋_GB2312" w:hAnsi="仿宋" w:eastAsia="仿宋_GB2312" w:cs="仿宋"/>
          <w:kern w:val="2"/>
          <w:sz w:val="32"/>
          <w:szCs w:val="32"/>
          <w:highlight w:val="none"/>
        </w:rPr>
        <w:t>规格</w:t>
      </w:r>
      <w:r>
        <w:rPr>
          <w:rFonts w:hint="eastAsia" w:ascii="仿宋_GB2312" w:hAnsi="仿宋" w:eastAsia="仿宋_GB2312" w:cs="仿宋"/>
          <w:kern w:val="2"/>
          <w:sz w:val="32"/>
          <w:szCs w:val="32"/>
          <w:highlight w:val="none"/>
          <w:lang w:eastAsia="zh-CN"/>
        </w:rPr>
        <w:t>参数</w:t>
      </w:r>
      <w:r>
        <w:rPr>
          <w:rFonts w:hint="eastAsia" w:ascii="仿宋_GB2312" w:hAnsi="仿宋" w:eastAsia="仿宋_GB2312" w:cs="仿宋"/>
          <w:kern w:val="2"/>
          <w:sz w:val="32"/>
          <w:szCs w:val="32"/>
          <w:highlight w:val="none"/>
        </w:rPr>
        <w:t>提供产品、授权及安装服务。若乙方提供的产品、授权及安装服务不符合约定，甲方有权要求乙方在接到通知后的5日内进行更换或退</w:t>
      </w:r>
      <w:r>
        <w:rPr>
          <w:rFonts w:hint="eastAsia" w:ascii="仿宋_GB2312" w:hAnsi="仿宋" w:eastAsia="仿宋_GB2312" w:cs="仿宋"/>
          <w:kern w:val="2"/>
          <w:sz w:val="32"/>
          <w:szCs w:val="32"/>
        </w:rPr>
        <w:t>货，并承担因此产生的所有费用，包括但不限于运输费、安装费等。</w:t>
      </w:r>
    </w:p>
    <w:p w14:paraId="1D14184B">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三）乙方保证所提供、使用的所有产品、设备、服务内容及任何成果不受到第三方关于侵犯知识产权或其他任何权利的指控，任何第三方如果提出侵权指控或因侵害第三方利益所产生纠纷（包括诉讼、索赔等）的，甲方有权要求乙方支付相当于本合同</w:t>
      </w:r>
      <w:r>
        <w:rPr>
          <w:rFonts w:hint="eastAsia" w:ascii="仿宋_GB2312" w:hAnsi="仿宋" w:eastAsia="仿宋_GB2312" w:cs="仿宋"/>
          <w:kern w:val="2"/>
          <w:sz w:val="32"/>
          <w:szCs w:val="32"/>
          <w:lang w:eastAsia="zh-CN"/>
        </w:rPr>
        <w:t>产品</w:t>
      </w:r>
      <w:r>
        <w:rPr>
          <w:rFonts w:hint="eastAsia" w:ascii="仿宋_GB2312" w:hAnsi="仿宋" w:eastAsia="仿宋_GB2312" w:cs="仿宋"/>
          <w:kern w:val="2"/>
          <w:sz w:val="32"/>
          <w:szCs w:val="32"/>
        </w:rPr>
        <w:t>金额20%的违约金，上述违约金可由甲方在向乙方支付费用中扣除，</w:t>
      </w:r>
      <w:r>
        <w:rPr>
          <w:rFonts w:hint="eastAsia" w:ascii="仿宋_GB2312" w:hAnsi="仿宋" w:eastAsia="仿宋_GB2312" w:cs="仿宋"/>
          <w:kern w:val="2"/>
          <w:sz w:val="32"/>
          <w:szCs w:val="32"/>
          <w:lang w:val="en-US" w:eastAsia="zh-CN"/>
        </w:rPr>
        <w:t>违约金不足以弥补甲方损失的</w:t>
      </w:r>
      <w:r>
        <w:rPr>
          <w:rFonts w:hint="eastAsia" w:ascii="仿宋_GB2312" w:hAnsi="仿宋" w:eastAsia="仿宋_GB2312" w:cs="仿宋"/>
          <w:kern w:val="2"/>
          <w:sz w:val="32"/>
          <w:szCs w:val="32"/>
        </w:rPr>
        <w:t>，乙方应补足。乙方应负责与第三方交涉并承担可能发生的一切法律责任以及</w:t>
      </w:r>
      <w:r>
        <w:rPr>
          <w:rFonts w:hint="eastAsia" w:ascii="仿宋_GB2312" w:hAnsi="仿宋" w:eastAsia="仿宋_GB2312" w:cs="仿宋"/>
          <w:kern w:val="2"/>
          <w:sz w:val="32"/>
          <w:szCs w:val="32"/>
          <w:lang w:val="en-US" w:eastAsia="zh-CN"/>
        </w:rPr>
        <w:t>由此给甲方</w:t>
      </w:r>
      <w:r>
        <w:rPr>
          <w:rFonts w:hint="eastAsia" w:ascii="仿宋_GB2312" w:hAnsi="仿宋" w:eastAsia="仿宋_GB2312" w:cs="仿宋"/>
          <w:kern w:val="2"/>
          <w:sz w:val="32"/>
          <w:szCs w:val="32"/>
        </w:rPr>
        <w:t>造成的后果和费用（包括诉讼费、律师费及相关费用等），违约金不足以弥补甲方所受损失的，乙方应继续承担赔偿责任。</w:t>
      </w:r>
    </w:p>
    <w:p w14:paraId="3BCA1B82">
      <w:pPr>
        <w:numPr>
          <w:ilvl w:val="255"/>
          <w:numId w:val="0"/>
        </w:numPr>
        <w:kinsoku w:val="0"/>
        <w:overflowPunct w:val="0"/>
        <w:spacing w:line="560" w:lineRule="exact"/>
        <w:ind w:firstLine="640" w:firstLineChars="200"/>
        <w:outlineLvl w:val="0"/>
        <w:rPr>
          <w:rFonts w:ascii="黑体" w:hAnsi="黑体" w:eastAsia="黑体" w:cs="黑体"/>
          <w:sz w:val="32"/>
          <w:szCs w:val="32"/>
          <w:shd w:val="clear" w:color="auto" w:fill="FFFFFF"/>
          <w:lang w:bidi="ar"/>
        </w:rPr>
      </w:pPr>
      <w:r>
        <w:rPr>
          <w:rFonts w:hint="eastAsia" w:ascii="黑体" w:hAnsi="黑体" w:eastAsia="黑体" w:cs="黑体"/>
          <w:sz w:val="32"/>
          <w:szCs w:val="32"/>
          <w:shd w:val="clear" w:color="auto" w:fill="FFFFFF"/>
          <w:lang w:eastAsia="zh-CN" w:bidi="ar"/>
        </w:rPr>
        <w:t>十</w:t>
      </w:r>
      <w:r>
        <w:rPr>
          <w:rFonts w:hint="eastAsia" w:ascii="黑体" w:hAnsi="黑体" w:eastAsia="黑体" w:cs="黑体"/>
          <w:sz w:val="32"/>
          <w:szCs w:val="32"/>
          <w:shd w:val="clear" w:color="auto" w:fill="FFFFFF"/>
          <w:lang w:bidi="ar"/>
        </w:rPr>
        <w:t>、不可抗力</w:t>
      </w:r>
    </w:p>
    <w:p w14:paraId="1A9D0B6C">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（一）如因战争、洪水、台风、地震、疫情、政府行为等不可抗力原因造成乙方不能按期履行合同约定的货期，该方履行期限可相应顺延，由此造成的损失，乙方均不承担责任。</w:t>
      </w:r>
    </w:p>
    <w:p w14:paraId="323F4DFE">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二）受不可抗力影响不能按期履约的一方，应当在不可抗力事件发生后最短时间内（在任何情况下，应在该方知悉该不可抗力事件且恢复通信后的1日内）以邮件、传真或其他双方认可的方式通知合同对方当事人。不可抗力通知必须载明该方遭受的不可抗力事件类型及性质和预计的对该方造成的影响和持续期间，并在发出通知后1日内提供不可抗力事件发生及其持续时间的足够证据。</w:t>
      </w:r>
    </w:p>
    <w:p w14:paraId="1FFF980B">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（三）收到通知的一方应立即采取适当措施防止因上述不可抗力事件造成的损失扩大，因没有采取适当措施致使损失扩大的，不得就扩大的损失要求对方进行赔偿。</w:t>
      </w:r>
    </w:p>
    <w:p w14:paraId="29DF9287">
      <w:pPr>
        <w:spacing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（四）如不可抗力事件持续时间超过7个工作日，合同双方应友好协商解决合同后期的执行问题。如双方无法达成一致，任何一方均有权解除本合同并无需承担任何违约责任。</w:t>
      </w:r>
    </w:p>
    <w:p w14:paraId="022372FE">
      <w:pPr>
        <w:pStyle w:val="5"/>
        <w:spacing w:before="120" w:line="184" w:lineRule="auto"/>
        <w:ind w:left="682"/>
        <w:outlineLvl w:val="0"/>
        <w:rPr>
          <w:rFonts w:hint="eastAsia" w:ascii="黑体" w:hAnsi="黑体" w:eastAsia="黑体" w:cs="黑体"/>
          <w:spacing w:val="-1"/>
          <w:sz w:val="32"/>
          <w:szCs w:val="32"/>
          <w:lang w:eastAsia="zh-CN"/>
        </w:rPr>
      </w:pPr>
      <w:r>
        <w:rPr>
          <w:rFonts w:hint="eastAsia" w:ascii="黑体" w:hAnsi="黑体" w:eastAsia="黑体" w:cs="黑体"/>
          <w:spacing w:val="-1"/>
          <w:sz w:val="32"/>
          <w:szCs w:val="32"/>
          <w:lang w:val="en-US" w:eastAsia="zh-CN"/>
        </w:rPr>
        <w:t>十一</w:t>
      </w:r>
      <w:r>
        <w:rPr>
          <w:rFonts w:hint="eastAsia" w:ascii="黑体" w:hAnsi="黑体" w:eastAsia="黑体" w:cs="黑体"/>
          <w:spacing w:val="-1"/>
          <w:sz w:val="32"/>
          <w:szCs w:val="32"/>
        </w:rPr>
        <w:t>、保密</w:t>
      </w:r>
      <w:r>
        <w:rPr>
          <w:rFonts w:hint="eastAsia" w:ascii="黑体" w:hAnsi="黑体" w:eastAsia="黑体" w:cs="黑体"/>
          <w:spacing w:val="-1"/>
          <w:sz w:val="32"/>
          <w:szCs w:val="32"/>
          <w:lang w:eastAsia="zh-CN"/>
        </w:rPr>
        <w:t>条款</w:t>
      </w:r>
    </w:p>
    <w:p w14:paraId="276FE972">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ascii="仿宋_GB2312" w:hAnsi="仿宋_GB2312" w:eastAsia="仿宋_GB2312" w:cs="仿宋_GB2312"/>
          <w:color w:val="auto"/>
          <w:sz w:val="32"/>
          <w:szCs w:val="32"/>
          <w:highlight w:val="none"/>
        </w:rPr>
        <w:t>在本合同履行期间，合同任一方就所有与本合同相关的公开声明和其他信息的披露需征得另一方书面同意。本合同任一方应对另一方的保密信息（包括甲方为履行本合同而向乙方提供的所有资料和乙方在本合同项下向甲方提交的工作成果）严格保密，未经信息披露方事先书面许可，不得向合同以外的任何第三方披露，否则，信息披露方有权终止本合同，并要求泄密方支付</w:t>
      </w:r>
      <w:r>
        <w:rPr>
          <w:rFonts w:hint="eastAsia" w:ascii="仿宋_GB2312" w:hAnsi="仿宋_GB2312" w:eastAsia="仿宋_GB2312" w:cs="仿宋_GB2312"/>
          <w:color w:val="auto"/>
          <w:sz w:val="32"/>
          <w:szCs w:val="32"/>
          <w:highlight w:val="none"/>
        </w:rPr>
        <w:t>[5]</w:t>
      </w:r>
      <w:r>
        <w:rPr>
          <w:rFonts w:ascii="仿宋_GB2312" w:hAnsi="仿宋_GB2312" w:eastAsia="仿宋_GB2312" w:cs="仿宋_GB2312"/>
          <w:color w:val="auto"/>
          <w:sz w:val="32"/>
          <w:szCs w:val="32"/>
          <w:highlight w:val="none"/>
        </w:rPr>
        <w:t>万元作为违约金。若该等违约金不足以弥补披露方因此遭受的损失的，泄密方仍需承担全部赔偿责任。上述保密责任不涉及以下领域：</w:t>
      </w:r>
    </w:p>
    <w:p w14:paraId="7288D79D">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ascii="仿宋_GB2312" w:hAnsi="仿宋_GB2312" w:eastAsia="仿宋_GB2312" w:cs="仿宋_GB2312"/>
          <w:color w:val="auto"/>
          <w:sz w:val="32"/>
          <w:szCs w:val="32"/>
          <w:highlight w:val="none"/>
        </w:rPr>
        <w:t>根据法律或有权的行政管理单位、法院或法庭的要求而进行的披露；</w:t>
      </w:r>
    </w:p>
    <w:p w14:paraId="11984595">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ascii="仿宋_GB2312" w:hAnsi="仿宋_GB2312" w:eastAsia="仿宋_GB2312" w:cs="仿宋_GB2312"/>
          <w:color w:val="auto"/>
          <w:sz w:val="32"/>
          <w:szCs w:val="32"/>
          <w:highlight w:val="none"/>
        </w:rPr>
        <w:t>属于公有领域的信息（并非违反本合同而形成的结果）</w:t>
      </w:r>
      <w:r>
        <w:rPr>
          <w:rFonts w:hint="eastAsia" w:ascii="仿宋_GB2312" w:hAnsi="仿宋_GB2312" w:eastAsia="仿宋_GB2312" w:cs="仿宋_GB2312"/>
          <w:color w:val="auto"/>
          <w:sz w:val="32"/>
          <w:szCs w:val="32"/>
          <w:highlight w:val="none"/>
        </w:rPr>
        <w:t>。</w:t>
      </w:r>
    </w:p>
    <w:p w14:paraId="6BFDDD76">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ascii="仿宋_GB2312" w:hAnsi="仿宋_GB2312" w:eastAsia="仿宋_GB2312" w:cs="仿宋_GB2312"/>
          <w:color w:val="auto"/>
          <w:sz w:val="32"/>
          <w:szCs w:val="32"/>
          <w:highlight w:val="none"/>
        </w:rPr>
        <w:t>在讨论、签订、执行本合同的过程中，双方保证对所获悉的属于对方的且无法自公开渠道获得的文件及资料（包括但不限于商业秘密、公司计划、运营活动、财务信息、技术信息、经营信息及其他商业秘密）予以保密。未经该资料和文件的提供方书面同意，另一方不得向任何第三方泄露该商业秘密的全部或部分内容。但</w:t>
      </w:r>
      <w:r>
        <w:rPr>
          <w:rFonts w:hint="eastAsia" w:ascii="仿宋_GB2312" w:hAnsi="仿宋_GB2312" w:eastAsia="仿宋_GB2312" w:cs="仿宋_GB2312"/>
          <w:color w:val="auto"/>
          <w:sz w:val="32"/>
          <w:szCs w:val="32"/>
          <w:highlight w:val="none"/>
        </w:rPr>
        <w:t>法律法规</w:t>
      </w:r>
      <w:r>
        <w:rPr>
          <w:rFonts w:ascii="仿宋_GB2312" w:hAnsi="仿宋_GB2312" w:eastAsia="仿宋_GB2312" w:cs="仿宋_GB2312"/>
          <w:color w:val="auto"/>
          <w:sz w:val="32"/>
          <w:szCs w:val="32"/>
          <w:highlight w:val="none"/>
        </w:rPr>
        <w:t>另有规定或双方另有约定的除外。保密期限直至该等保密信息进入公共领域为止。</w:t>
      </w:r>
    </w:p>
    <w:p w14:paraId="4E2B0FC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ascii="仿宋_GB2312" w:hAnsi="仿宋_GB2312" w:eastAsia="仿宋_GB2312" w:cs="仿宋_GB2312"/>
          <w:color w:val="auto"/>
          <w:sz w:val="32"/>
          <w:szCs w:val="32"/>
          <w:highlight w:val="none"/>
        </w:rPr>
        <w:t>保密条款系独立条款，不因本合同未生效、被撤销、变更、解除或终止而无效。</w:t>
      </w:r>
    </w:p>
    <w:p w14:paraId="39C5A557">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乙方及其服务工作人员需与</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lang w:eastAsia="zh-CN"/>
        </w:rPr>
        <w:t>签署服务保密协议，乙方及服务工作人员应遵守国家保密法规和</w:t>
      </w:r>
      <w:r>
        <w:rPr>
          <w:rFonts w:hint="eastAsia" w:ascii="仿宋_GB2312" w:hAnsi="仿宋_GB2312" w:eastAsia="仿宋_GB2312" w:cs="仿宋_GB2312"/>
          <w:color w:val="auto"/>
          <w:sz w:val="32"/>
          <w:szCs w:val="32"/>
          <w:highlight w:val="none"/>
          <w:lang w:val="en-US" w:eastAsia="zh-CN"/>
        </w:rPr>
        <w:t>甲方的</w:t>
      </w:r>
      <w:r>
        <w:rPr>
          <w:rFonts w:hint="eastAsia" w:ascii="仿宋_GB2312" w:hAnsi="仿宋_GB2312" w:eastAsia="仿宋_GB2312" w:cs="仿宋_GB2312"/>
          <w:color w:val="auto"/>
          <w:sz w:val="32"/>
          <w:szCs w:val="32"/>
          <w:highlight w:val="none"/>
          <w:lang w:eastAsia="zh-CN"/>
        </w:rPr>
        <w:t>相关保密规定，认真遵守履行保密义务，采取切实可行的措施保障</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lang w:eastAsia="zh-CN"/>
        </w:rPr>
        <w:t>的业务系统、网络与信息安全。</w:t>
      </w:r>
    </w:p>
    <w:p w14:paraId="5E661497">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十二、</w:t>
      </w:r>
      <w:r>
        <w:rPr>
          <w:rFonts w:hint="eastAsia" w:ascii="黑体" w:hAnsi="黑体" w:eastAsia="黑体" w:cs="黑体"/>
          <w:color w:val="auto"/>
          <w:sz w:val="32"/>
          <w:szCs w:val="32"/>
          <w:highlight w:val="none"/>
        </w:rPr>
        <w:t>争议解决</w:t>
      </w:r>
    </w:p>
    <w:p w14:paraId="178B5FB0">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凡因本合同引起的或与本合同有关的任何争议，双方均应友好协商；协商不成的，通过下列第[</w:t>
      </w:r>
      <w:r>
        <w:rPr>
          <w:rFonts w:hint="eastAsia" w:ascii="仿宋_GB2312" w:hAnsi="仿宋_GB2312" w:eastAsia="仿宋_GB2312" w:cs="仿宋_GB2312"/>
          <w:color w:val="auto"/>
          <w:sz w:val="32"/>
          <w:szCs w:val="32"/>
          <w:highlight w:val="none"/>
          <w:lang w:val="en-US" w:eastAsia="zh-CN"/>
        </w:rPr>
        <w:t xml:space="preserve"> 3 </w:t>
      </w:r>
      <w:r>
        <w:rPr>
          <w:rFonts w:hint="eastAsia" w:ascii="仿宋_GB2312" w:hAnsi="仿宋_GB2312" w:eastAsia="仿宋_GB2312" w:cs="仿宋_GB2312"/>
          <w:color w:val="auto"/>
          <w:sz w:val="32"/>
          <w:szCs w:val="32"/>
          <w:highlight w:val="none"/>
        </w:rPr>
        <w:t>]种方式解决：</w:t>
      </w:r>
    </w:p>
    <w:p w14:paraId="03527BFE">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（1）临时仲裁</w:t>
      </w:r>
    </w:p>
    <w:p w14:paraId="0F4882DF">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通过仲裁方式解决，仲裁地位于海南自由贸易港，适用海南省仲裁协会《海南自由贸易港临时仲裁规则》。特别约定：</w:t>
      </w:r>
    </w:p>
    <w:p w14:paraId="03CFD856">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1.1指定机构为【</w:t>
      </w:r>
      <w:r>
        <w:rPr>
          <w:rFonts w:hint="default" w:ascii="仿宋_GB2312" w:hAnsi="仿宋_GB2312" w:eastAsia="仿宋_GB2312" w:cs="仿宋_GB2312"/>
          <w:color w:val="auto"/>
          <w:sz w:val="32"/>
          <w:szCs w:val="32"/>
          <w:highlight w:val="none"/>
          <w:lang w:val="en-US"/>
        </w:rPr>
        <w:t>海南省仲裁协会</w:t>
      </w:r>
      <w:r>
        <w:rPr>
          <w:rFonts w:hint="eastAsia" w:ascii="仿宋_GB2312" w:hAnsi="仿宋_GB2312" w:eastAsia="仿宋_GB2312" w:cs="仿宋_GB2312"/>
          <w:color w:val="auto"/>
          <w:sz w:val="32"/>
          <w:szCs w:val="32"/>
          <w:highlight w:val="none"/>
        </w:rPr>
        <w:t>】</w:t>
      </w:r>
    </w:p>
    <w:p w14:paraId="36F77C39">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1.2仲裁员人数为【】</w:t>
      </w:r>
    </w:p>
    <w:p w14:paraId="5717412C">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1.3仲裁语言为【】</w:t>
      </w:r>
    </w:p>
    <w:p w14:paraId="17217BF9">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1.4合同所适用实体法为【】</w:t>
      </w:r>
    </w:p>
    <w:p w14:paraId="5C896620">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（注：当事人可就以上事项作特别约定。仲裁裁决是终局的，对双方均有约束力。）</w:t>
      </w:r>
    </w:p>
    <w:p w14:paraId="61B3F064">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（2）机构仲裁</w:t>
      </w:r>
    </w:p>
    <w:p w14:paraId="3B7AEE84">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提交海南国际仲裁院，按照该机构现行有效仲裁规则进行仲裁。仲裁裁决是终局的，对双方均有约束力。</w:t>
      </w:r>
    </w:p>
    <w:p w14:paraId="17716915">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（3）向[甲方]所在地有管辖权的人民法院提起诉讼。</w:t>
      </w:r>
    </w:p>
    <w:p w14:paraId="1E6DCB72">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合同有关争议解决的条款独立存在，合同的变更、解除、终止、无效或者被撤销均不影响其效力。在诉讼期间，除正在进行诉讼的部分外，合同其它部分应继续执行。</w:t>
      </w:r>
    </w:p>
    <w:p w14:paraId="5C830713">
      <w:pPr>
        <w:spacing w:line="560" w:lineRule="exact"/>
        <w:ind w:firstLine="640" w:firstLineChars="200"/>
        <w:outlineLvl w:val="0"/>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十三、</w:t>
      </w:r>
      <w:r>
        <w:rPr>
          <w:rFonts w:hint="eastAsia" w:ascii="黑体" w:hAnsi="黑体" w:eastAsia="黑体" w:cs="黑体"/>
          <w:color w:val="auto"/>
          <w:sz w:val="32"/>
          <w:szCs w:val="32"/>
          <w:highlight w:val="none"/>
        </w:rPr>
        <w:t>通知与送达</w:t>
      </w:r>
    </w:p>
    <w:p w14:paraId="6A6B589C">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甲乙</w:t>
      </w:r>
      <w:r>
        <w:rPr>
          <w:rFonts w:ascii="仿宋_GB2312" w:hAnsi="仿宋_GB2312" w:eastAsia="仿宋_GB2312" w:cs="仿宋_GB2312"/>
          <w:color w:val="auto"/>
          <w:sz w:val="32"/>
          <w:szCs w:val="32"/>
          <w:highlight w:val="none"/>
        </w:rPr>
        <w:t>双方确认各自的合法有效送达地址及联系方式如下（合同履行及争议解决过程中均可按照下列方式进行送达）：</w:t>
      </w:r>
    </w:p>
    <w:p w14:paraId="12B9F344">
      <w:pPr>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rPr>
        <w:t>海口市产业发展投资集团有限公司</w:t>
      </w:r>
    </w:p>
    <w:p w14:paraId="3BE970E8">
      <w:pPr>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送达地址：</w:t>
      </w:r>
      <w:r>
        <w:rPr>
          <w:rFonts w:hint="eastAsia" w:ascii="仿宋_GB2312" w:hAnsi="仿宋_GB2312" w:eastAsia="仿宋_GB2312" w:cs="仿宋_GB2312"/>
          <w:color w:val="auto"/>
          <w:sz w:val="32"/>
          <w:szCs w:val="32"/>
          <w:highlight w:val="none"/>
        </w:rPr>
        <w:t>海南省海口市江东新区江东大道 202 号江东大厦B 座 3 层</w:t>
      </w:r>
    </w:p>
    <w:p w14:paraId="0126B2C6">
      <w:pPr>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收件人：</w:t>
      </w:r>
      <w:r>
        <w:rPr>
          <w:rFonts w:hint="eastAsia" w:ascii="仿宋_GB2312" w:hAnsi="仿宋_GB2312" w:eastAsia="仿宋_GB2312" w:cs="仿宋_GB2312"/>
          <w:color w:val="auto"/>
          <w:sz w:val="32"/>
          <w:szCs w:val="32"/>
          <w:highlight w:val="none"/>
        </w:rPr>
        <w:t>王琼山</w:t>
      </w:r>
    </w:p>
    <w:p w14:paraId="20D95DA9">
      <w:pPr>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联系方式：</w:t>
      </w:r>
      <w:r>
        <w:rPr>
          <w:rFonts w:hint="eastAsia" w:ascii="仿宋_GB2312" w:hAnsi="仿宋_GB2312" w:eastAsia="仿宋_GB2312" w:cs="仿宋_GB2312"/>
          <w:color w:val="auto"/>
          <w:sz w:val="32"/>
          <w:szCs w:val="32"/>
          <w:highlight w:val="none"/>
        </w:rPr>
        <w:t>13876389142</w:t>
      </w:r>
    </w:p>
    <w:p w14:paraId="756E62CD">
      <w:pPr>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乙方：</w:t>
      </w:r>
    </w:p>
    <w:p w14:paraId="7241A608">
      <w:pPr>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送达地址：</w:t>
      </w:r>
    </w:p>
    <w:p w14:paraId="3EDB0890">
      <w:pPr>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收件人：</w:t>
      </w:r>
    </w:p>
    <w:p w14:paraId="0E807442">
      <w:pPr>
        <w:spacing w:line="56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联系方式：</w:t>
      </w:r>
    </w:p>
    <w:p w14:paraId="609BF118">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ascii="仿宋_GB2312" w:hAnsi="仿宋_GB2312" w:eastAsia="仿宋_GB2312" w:cs="仿宋_GB2312"/>
          <w:color w:val="auto"/>
          <w:sz w:val="32"/>
          <w:szCs w:val="32"/>
          <w:highlight w:val="none"/>
        </w:rPr>
        <w:t>一方变更名称、地址、联系人或联系方式的，应当在变更后</w:t>
      </w:r>
      <w:r>
        <w:rPr>
          <w:rFonts w:hint="eastAsia" w:ascii="仿宋_GB2312" w:hAnsi="仿宋_GB2312" w:eastAsia="仿宋_GB2312" w:cs="仿宋_GB2312"/>
          <w:color w:val="auto"/>
          <w:sz w:val="32"/>
          <w:szCs w:val="32"/>
          <w:highlight w:val="none"/>
        </w:rPr>
        <w:t>[2]</w:t>
      </w:r>
      <w:r>
        <w:rPr>
          <w:rFonts w:ascii="仿宋_GB2312" w:hAnsi="仿宋_GB2312" w:eastAsia="仿宋_GB2312" w:cs="仿宋_GB2312"/>
          <w:color w:val="auto"/>
          <w:sz w:val="32"/>
          <w:szCs w:val="32"/>
          <w:highlight w:val="none"/>
        </w:rPr>
        <w:t>日内及时书面通知对方当事人，对方当事人实际收到变更通知前的送达仍为有效送达，</w:t>
      </w:r>
      <w:r>
        <w:rPr>
          <w:rFonts w:hint="eastAsia" w:ascii="仿宋_GB2312" w:hAnsi="仿宋_GB2312" w:eastAsia="仿宋_GB2312" w:cs="仿宋_GB2312"/>
          <w:color w:val="auto"/>
          <w:sz w:val="32"/>
          <w:szCs w:val="32"/>
          <w:highlight w:val="none"/>
        </w:rPr>
        <w:t>电子</w:t>
      </w:r>
      <w:r>
        <w:rPr>
          <w:rFonts w:ascii="仿宋_GB2312" w:hAnsi="仿宋_GB2312" w:eastAsia="仿宋_GB2312" w:cs="仿宋_GB2312"/>
          <w:color w:val="auto"/>
          <w:sz w:val="32"/>
          <w:szCs w:val="32"/>
          <w:highlight w:val="none"/>
        </w:rPr>
        <w:t>送达与书面送达具有同等法律效力。变更方未及时通知的，对方当事人按照变更前的信息进行送达的仍视为有效送达，因此产生的不利后果由变更方承担。</w:t>
      </w:r>
    </w:p>
    <w:p w14:paraId="33806F30">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ascii="仿宋_GB2312" w:hAnsi="仿宋_GB2312" w:eastAsia="仿宋_GB2312" w:cs="仿宋_GB2312"/>
          <w:color w:val="auto"/>
          <w:sz w:val="32"/>
          <w:szCs w:val="32"/>
          <w:highlight w:val="none"/>
        </w:rPr>
        <w:t>一方向另一方送达文件，以被送达方的签收日期作为送达日期。通过快递方式送达的，以快递签收日期为送达</w:t>
      </w:r>
      <w:r>
        <w:rPr>
          <w:rFonts w:hint="eastAsia" w:ascii="仿宋_GB2312" w:hAnsi="仿宋_GB2312" w:eastAsia="仿宋_GB2312" w:cs="仿宋_GB2312"/>
          <w:color w:val="auto"/>
          <w:sz w:val="32"/>
          <w:szCs w:val="32"/>
          <w:highlight w:val="none"/>
        </w:rPr>
        <w:t>日期</w:t>
      </w:r>
      <w:r>
        <w:rPr>
          <w:rFonts w:ascii="仿宋_GB2312" w:hAnsi="仿宋_GB2312" w:eastAsia="仿宋_GB2312" w:cs="仿宋_GB2312"/>
          <w:color w:val="auto"/>
          <w:sz w:val="32"/>
          <w:szCs w:val="32"/>
          <w:highlight w:val="none"/>
        </w:rPr>
        <w:t>。被送达方拒收或无法送达的，由交邮后第</w:t>
      </w:r>
      <w:r>
        <w:rPr>
          <w:rFonts w:hint="eastAsia" w:ascii="仿宋_GB2312" w:hAnsi="仿宋_GB2312" w:eastAsia="仿宋_GB2312" w:cs="仿宋_GB2312"/>
          <w:color w:val="auto"/>
          <w:sz w:val="32"/>
          <w:szCs w:val="32"/>
          <w:highlight w:val="none"/>
          <w:u w:val="single"/>
          <w:lang w:val="en-US" w:eastAsia="zh-CN"/>
        </w:rPr>
        <w:t xml:space="preserve"> 15 </w:t>
      </w:r>
      <w:r>
        <w:rPr>
          <w:rFonts w:ascii="仿宋_GB2312" w:hAnsi="仿宋_GB2312" w:eastAsia="仿宋_GB2312" w:cs="仿宋_GB2312"/>
          <w:color w:val="auto"/>
          <w:sz w:val="32"/>
          <w:szCs w:val="32"/>
          <w:highlight w:val="none"/>
        </w:rPr>
        <w:t>日视为已经送达。通过电子文件送达的，自前述电子文件内容在发送方正确填写地址</w:t>
      </w:r>
      <w:r>
        <w:rPr>
          <w:rFonts w:hint="eastAsia" w:ascii="仿宋_GB2312" w:hAnsi="仿宋_GB2312" w:eastAsia="仿宋_GB2312" w:cs="仿宋_GB2312"/>
          <w:color w:val="auto"/>
          <w:sz w:val="32"/>
          <w:szCs w:val="32"/>
          <w:highlight w:val="none"/>
        </w:rPr>
        <w:t>且</w:t>
      </w:r>
      <w:r>
        <w:rPr>
          <w:rFonts w:ascii="仿宋_GB2312" w:hAnsi="仿宋_GB2312" w:eastAsia="仿宋_GB2312" w:cs="仿宋_GB2312"/>
          <w:color w:val="auto"/>
          <w:sz w:val="32"/>
          <w:szCs w:val="32"/>
          <w:highlight w:val="none"/>
        </w:rPr>
        <w:t>被系统退回的情况下，自文件进入对方数据电文接收系统即视为送达，若送达日为非工作日，则在下一个工作日视为已经送达。</w:t>
      </w:r>
    </w:p>
    <w:p w14:paraId="7CCFDE5C">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ascii="仿宋_GB2312" w:hAnsi="仿宋_GB2312" w:eastAsia="仿宋_GB2312" w:cs="仿宋_GB2312"/>
          <w:color w:val="auto"/>
          <w:sz w:val="32"/>
          <w:szCs w:val="32"/>
          <w:highlight w:val="none"/>
        </w:rPr>
        <w:t>本条款为独立系款，不受合同整体或其他</w:t>
      </w:r>
      <w:r>
        <w:rPr>
          <w:rFonts w:hint="eastAsia" w:ascii="仿宋_GB2312" w:hAnsi="仿宋_GB2312" w:eastAsia="仿宋_GB2312" w:cs="仿宋_GB2312"/>
          <w:color w:val="auto"/>
          <w:sz w:val="32"/>
          <w:szCs w:val="32"/>
          <w:highlight w:val="none"/>
        </w:rPr>
        <w:t>条款</w:t>
      </w:r>
      <w:r>
        <w:rPr>
          <w:rFonts w:ascii="仿宋_GB2312" w:hAnsi="仿宋_GB2312" w:eastAsia="仿宋_GB2312" w:cs="仿宋_GB2312"/>
          <w:color w:val="auto"/>
          <w:sz w:val="32"/>
          <w:szCs w:val="32"/>
          <w:highlight w:val="none"/>
        </w:rPr>
        <w:t>的效力的影响，始终有效。</w:t>
      </w:r>
    </w:p>
    <w:p w14:paraId="0774064C">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十四、</w:t>
      </w:r>
      <w:r>
        <w:rPr>
          <w:rFonts w:hint="eastAsia" w:ascii="黑体" w:hAnsi="黑体" w:eastAsia="黑体" w:cs="黑体"/>
          <w:color w:val="auto"/>
          <w:sz w:val="32"/>
          <w:szCs w:val="32"/>
          <w:highlight w:val="none"/>
        </w:rPr>
        <w:t>本合同的组成文件</w:t>
      </w:r>
    </w:p>
    <w:p w14:paraId="223C9692">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本协议书与下列文件一起构成合同文件：</w:t>
      </w:r>
    </w:p>
    <w:p w14:paraId="64FF411D">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任务书</w:t>
      </w:r>
      <w:r>
        <w:rPr>
          <w:rFonts w:hint="eastAsia" w:ascii="仿宋_GB2312" w:hAnsi="仿宋_GB2312" w:eastAsia="仿宋_GB2312" w:cs="仿宋_GB2312"/>
          <w:color w:val="auto"/>
          <w:sz w:val="32"/>
          <w:szCs w:val="32"/>
          <w:highlight w:val="none"/>
          <w:lang w:eastAsia="zh-CN"/>
        </w:rPr>
        <w:t>；</w:t>
      </w:r>
    </w:p>
    <w:p w14:paraId="5B29C12C">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甲乙双方商定的其他必要文件。</w:t>
      </w:r>
    </w:p>
    <w:p w14:paraId="2B100958">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上述合同文件内容互为补充，如有不明确，由甲方负责解释。当</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lang w:eastAsia="zh-CN"/>
        </w:rPr>
        <w:t>因相互之间的文书材料或通讯联络出现冲突、矛盾或不一致时，</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lang w:eastAsia="zh-CN"/>
        </w:rPr>
        <w:t>享有最终解释权及决定权。</w:t>
      </w:r>
    </w:p>
    <w:p w14:paraId="1E28750B">
      <w:pPr>
        <w:spacing w:line="560" w:lineRule="exact"/>
        <w:ind w:firstLine="640" w:firstLineChars="200"/>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十五、</w:t>
      </w:r>
      <w:r>
        <w:rPr>
          <w:rFonts w:hint="eastAsia" w:ascii="黑体" w:hAnsi="黑体" w:eastAsia="黑体" w:cs="黑体"/>
          <w:color w:val="auto"/>
          <w:sz w:val="32"/>
          <w:szCs w:val="32"/>
          <w:highlight w:val="none"/>
        </w:rPr>
        <w:t>其他</w:t>
      </w:r>
    </w:p>
    <w:p w14:paraId="76ECF570">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本合同未尽事宜，双方可另行签订补充协议，补充协议与本合同具有同等法律效力。</w:t>
      </w:r>
    </w:p>
    <w:p w14:paraId="1834DEFF">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本合同自双方法定代表人或授权代表人签字并盖章之日起生效。</w:t>
      </w:r>
    </w:p>
    <w:p w14:paraId="395E874A">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本合同一式陆份，由甲方执肆份，乙方执贰份，具有同等法律效力。</w:t>
      </w:r>
    </w:p>
    <w:p w14:paraId="59355655">
      <w:pPr>
        <w:pStyle w:val="14"/>
        <w:rPr>
          <w:rFonts w:hint="eastAsia" w:ascii="仿宋_GB2312" w:hAnsi="仿宋_GB2312" w:eastAsia="仿宋_GB2312" w:cs="仿宋_GB2312"/>
          <w:color w:val="auto"/>
          <w:sz w:val="32"/>
          <w:szCs w:val="32"/>
          <w:highlight w:val="none"/>
        </w:rPr>
      </w:pPr>
    </w:p>
    <w:p w14:paraId="4C84E14A">
      <w:pPr>
        <w:pStyle w:val="10"/>
        <w:ind w:left="680" w:firstLine="680"/>
      </w:pPr>
    </w:p>
    <w:p w14:paraId="7410B070">
      <w:pPr>
        <w:pStyle w:val="10"/>
        <w:ind w:left="680" w:firstLine="680"/>
      </w:pPr>
    </w:p>
    <w:p w14:paraId="603CAC86">
      <w:pPr>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br w:type="page"/>
      </w:r>
    </w:p>
    <w:p w14:paraId="16A857AC">
      <w:pPr>
        <w:pStyle w:val="5"/>
        <w:spacing w:line="576" w:lineRule="exact"/>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rPr>
        <w:t>以下无正文，为签署页</w:t>
      </w:r>
      <w:r>
        <w:rPr>
          <w:rFonts w:hint="eastAsia" w:ascii="仿宋_GB2312" w:hAnsi="仿宋_GB2312" w:eastAsia="仿宋_GB2312" w:cs="仿宋_GB2312"/>
          <w:spacing w:val="-5"/>
          <w:sz w:val="32"/>
          <w:szCs w:val="32"/>
        </w:rPr>
        <w:t>）</w:t>
      </w:r>
    </w:p>
    <w:p w14:paraId="13EF045C">
      <w:pPr>
        <w:pStyle w:val="5"/>
        <w:spacing w:line="576" w:lineRule="exact"/>
        <w:ind w:firstLine="620" w:firstLineChars="200"/>
        <w:jc w:val="both"/>
        <w:rPr>
          <w:rFonts w:ascii="仿宋_GB2312" w:hAnsi="仿宋_GB2312" w:eastAsia="仿宋_GB2312" w:cs="仿宋_GB2312"/>
          <w:spacing w:val="-5"/>
          <w:sz w:val="32"/>
          <w:szCs w:val="32"/>
        </w:rPr>
      </w:pPr>
    </w:p>
    <w:p w14:paraId="01EDC03D">
      <w:pPr>
        <w:pStyle w:val="5"/>
        <w:spacing w:line="576" w:lineRule="exact"/>
        <w:ind w:firstLine="620" w:firstLineChars="200"/>
        <w:jc w:val="both"/>
        <w:rPr>
          <w:rFonts w:ascii="仿宋_GB2312" w:hAnsi="仿宋_GB2312" w:eastAsia="仿宋_GB2312" w:cs="仿宋_GB2312"/>
          <w:spacing w:val="-5"/>
          <w:sz w:val="32"/>
          <w:szCs w:val="32"/>
        </w:rPr>
      </w:pPr>
    </w:p>
    <w:p w14:paraId="4FA66A5F">
      <w:pPr>
        <w:pStyle w:val="5"/>
        <w:spacing w:line="576" w:lineRule="exact"/>
        <w:ind w:firstLine="620" w:firstLineChars="200"/>
        <w:jc w:val="both"/>
        <w:rPr>
          <w:rFonts w:ascii="仿宋_GB2312" w:hAnsi="仿宋_GB2312" w:eastAsia="仿宋_GB2312" w:cs="仿宋_GB2312"/>
          <w:spacing w:val="-5"/>
          <w:sz w:val="32"/>
          <w:szCs w:val="32"/>
        </w:rPr>
      </w:pPr>
    </w:p>
    <w:p w14:paraId="0B42F50B">
      <w:pPr>
        <w:pStyle w:val="5"/>
        <w:spacing w:line="576" w:lineRule="exact"/>
        <w:ind w:firstLine="620" w:firstLineChars="200"/>
        <w:jc w:val="both"/>
        <w:rPr>
          <w:rFonts w:ascii="仿宋_GB2312" w:hAnsi="仿宋_GB2312" w:eastAsia="仿宋_GB2312" w:cs="仿宋_GB2312"/>
          <w:spacing w:val="-5"/>
          <w:sz w:val="32"/>
          <w:szCs w:val="32"/>
        </w:rPr>
      </w:pPr>
    </w:p>
    <w:p w14:paraId="4F79ABF1">
      <w:pPr>
        <w:pStyle w:val="5"/>
        <w:spacing w:line="576" w:lineRule="exact"/>
        <w:ind w:firstLine="620" w:firstLineChars="200"/>
        <w:jc w:val="both"/>
        <w:rPr>
          <w:rFonts w:ascii="仿宋_GB2312" w:hAnsi="仿宋_GB2312" w:eastAsia="仿宋_GB2312" w:cs="仿宋_GB2312"/>
          <w:spacing w:val="-5"/>
          <w:sz w:val="32"/>
          <w:szCs w:val="32"/>
        </w:rPr>
      </w:pPr>
    </w:p>
    <w:p w14:paraId="75968DBF">
      <w:pPr>
        <w:pStyle w:val="5"/>
        <w:spacing w:line="576"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甲方：</w:t>
      </w:r>
      <w:r>
        <w:rPr>
          <w:rFonts w:hint="eastAsia" w:ascii="仿宋_GB2312" w:hAnsi="仿宋_GB2312" w:eastAsia="仿宋_GB2312" w:cs="仿宋_GB2312"/>
          <w:spacing w:val="-5"/>
          <w:sz w:val="32"/>
          <w:szCs w:val="32"/>
          <w:lang w:val="en-US"/>
        </w:rPr>
        <w:t>海口市产业发展投资集团有限公司</w:t>
      </w:r>
    </w:p>
    <w:p w14:paraId="2097FE3F">
      <w:pPr>
        <w:pStyle w:val="5"/>
        <w:spacing w:line="576"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法定代表</w:t>
      </w:r>
      <w:r>
        <w:rPr>
          <w:rFonts w:hint="eastAsia" w:ascii="仿宋_GB2312" w:hAnsi="仿宋_GB2312" w:eastAsia="仿宋_GB2312" w:cs="仿宋_GB2312"/>
          <w:spacing w:val="-5"/>
          <w:sz w:val="32"/>
          <w:szCs w:val="32"/>
          <w:lang w:val="en-US"/>
        </w:rPr>
        <w:t>人或</w:t>
      </w:r>
      <w:r>
        <w:rPr>
          <w:rFonts w:hint="eastAsia" w:ascii="仿宋_GB2312" w:hAnsi="仿宋_GB2312" w:eastAsia="仿宋_GB2312" w:cs="仿宋_GB2312"/>
          <w:spacing w:val="-5"/>
          <w:sz w:val="32"/>
          <w:szCs w:val="32"/>
        </w:rPr>
        <w:t>授权委托人：</w:t>
      </w:r>
    </w:p>
    <w:p w14:paraId="65B62AA6">
      <w:pPr>
        <w:pStyle w:val="5"/>
        <w:spacing w:line="576" w:lineRule="exact"/>
        <w:ind w:firstLine="620" w:firstLineChars="200"/>
        <w:jc w:val="both"/>
        <w:rPr>
          <w:rFonts w:ascii="仿宋_GB2312" w:hAnsi="仿宋_GB2312" w:eastAsia="仿宋_GB2312" w:cs="仿宋_GB2312"/>
          <w:spacing w:val="-5"/>
          <w:sz w:val="32"/>
          <w:szCs w:val="32"/>
          <w:lang w:val="en-US"/>
        </w:rPr>
      </w:pPr>
      <w:r>
        <w:rPr>
          <w:rFonts w:hint="eastAsia" w:ascii="仿宋_GB2312" w:hAnsi="仿宋_GB2312" w:eastAsia="仿宋_GB2312" w:cs="仿宋_GB2312"/>
          <w:spacing w:val="-5"/>
          <w:sz w:val="32"/>
          <w:szCs w:val="32"/>
          <w:lang w:val="en-US"/>
        </w:rPr>
        <w:t>经办人：</w:t>
      </w:r>
    </w:p>
    <w:p w14:paraId="02F3E295">
      <w:pPr>
        <w:pStyle w:val="5"/>
        <w:spacing w:line="576"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签署</w:t>
      </w:r>
      <w:r>
        <w:rPr>
          <w:rFonts w:hint="eastAsia" w:ascii="仿宋_GB2312" w:hAnsi="仿宋_GB2312" w:eastAsia="仿宋_GB2312" w:cs="仿宋_GB2312"/>
          <w:spacing w:val="-5"/>
          <w:sz w:val="32"/>
          <w:szCs w:val="32"/>
          <w:lang w:val="en-US"/>
        </w:rPr>
        <w:t>日期</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rPr>
        <w:t xml:space="preserve">  </w:t>
      </w:r>
      <w:r>
        <w:rPr>
          <w:rFonts w:hint="eastAsia" w:ascii="仿宋_GB2312" w:hAnsi="仿宋_GB2312" w:eastAsia="仿宋_GB2312" w:cs="仿宋_GB2312"/>
          <w:spacing w:val="-5"/>
          <w:sz w:val="32"/>
          <w:szCs w:val="32"/>
        </w:rPr>
        <w:t>年</w:t>
      </w:r>
      <w:r>
        <w:rPr>
          <w:rFonts w:hint="eastAsia" w:ascii="仿宋_GB2312" w:hAnsi="仿宋_GB2312" w:eastAsia="仿宋_GB2312" w:cs="仿宋_GB2312"/>
          <w:spacing w:val="-5"/>
          <w:sz w:val="32"/>
          <w:szCs w:val="32"/>
          <w:lang w:val="en-US"/>
        </w:rPr>
        <w:t xml:space="preserve">  </w:t>
      </w:r>
      <w:r>
        <w:rPr>
          <w:rFonts w:hint="eastAsia" w:ascii="仿宋_GB2312" w:hAnsi="仿宋_GB2312" w:eastAsia="仿宋_GB2312" w:cs="仿宋_GB2312"/>
          <w:spacing w:val="-5"/>
          <w:sz w:val="32"/>
          <w:szCs w:val="32"/>
        </w:rPr>
        <w:t>月</w:t>
      </w:r>
      <w:r>
        <w:rPr>
          <w:rFonts w:hint="eastAsia" w:ascii="仿宋_GB2312" w:hAnsi="仿宋_GB2312" w:eastAsia="仿宋_GB2312" w:cs="仿宋_GB2312"/>
          <w:spacing w:val="-5"/>
          <w:sz w:val="32"/>
          <w:szCs w:val="32"/>
          <w:lang w:val="en-US"/>
        </w:rPr>
        <w:t xml:space="preserve">  </w:t>
      </w:r>
      <w:r>
        <w:rPr>
          <w:rFonts w:hint="eastAsia" w:ascii="仿宋_GB2312" w:hAnsi="仿宋_GB2312" w:eastAsia="仿宋_GB2312" w:cs="仿宋_GB2312"/>
          <w:spacing w:val="-5"/>
          <w:sz w:val="32"/>
          <w:szCs w:val="32"/>
        </w:rPr>
        <w:t>日</w:t>
      </w:r>
    </w:p>
    <w:p w14:paraId="05CF2AFE">
      <w:pPr>
        <w:pStyle w:val="5"/>
        <w:spacing w:line="576" w:lineRule="exact"/>
        <w:ind w:firstLine="620" w:firstLineChars="200"/>
        <w:jc w:val="both"/>
        <w:rPr>
          <w:rFonts w:ascii="仿宋_GB2312" w:hAnsi="仿宋_GB2312" w:eastAsia="仿宋_GB2312" w:cs="仿宋_GB2312"/>
          <w:spacing w:val="-5"/>
          <w:sz w:val="32"/>
          <w:szCs w:val="32"/>
        </w:rPr>
      </w:pPr>
    </w:p>
    <w:p w14:paraId="61D009B8">
      <w:pPr>
        <w:pStyle w:val="5"/>
        <w:spacing w:line="576"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乙方：</w:t>
      </w:r>
    </w:p>
    <w:p w14:paraId="3B2B1D9A">
      <w:pPr>
        <w:pStyle w:val="5"/>
        <w:spacing w:line="576" w:lineRule="exact"/>
        <w:ind w:firstLine="620" w:firstLineChars="200"/>
        <w:jc w:val="both"/>
        <w:rPr>
          <w:rFonts w:ascii="仿宋_GB2312" w:hAnsi="仿宋_GB2312" w:eastAsia="仿宋_GB2312" w:cs="仿宋_GB2312"/>
          <w:spacing w:val="-5"/>
          <w:sz w:val="32"/>
          <w:szCs w:val="32"/>
          <w:lang w:val="en-US"/>
        </w:rPr>
      </w:pPr>
      <w:r>
        <w:rPr>
          <w:rFonts w:hint="eastAsia" w:ascii="仿宋_GB2312" w:hAnsi="仿宋_GB2312" w:eastAsia="仿宋_GB2312" w:cs="仿宋_GB2312"/>
          <w:spacing w:val="-5"/>
          <w:sz w:val="32"/>
          <w:szCs w:val="32"/>
        </w:rPr>
        <w:t>法定代表</w:t>
      </w:r>
      <w:r>
        <w:rPr>
          <w:rFonts w:hint="eastAsia" w:ascii="仿宋_GB2312" w:hAnsi="仿宋_GB2312" w:eastAsia="仿宋_GB2312" w:cs="仿宋_GB2312"/>
          <w:spacing w:val="-5"/>
          <w:sz w:val="32"/>
          <w:szCs w:val="32"/>
          <w:lang w:val="en-US"/>
        </w:rPr>
        <w:t>人：</w:t>
      </w:r>
    </w:p>
    <w:p w14:paraId="446C8503">
      <w:pPr>
        <w:pStyle w:val="5"/>
        <w:spacing w:line="576"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授权委托人（签字）：</w:t>
      </w:r>
    </w:p>
    <w:p w14:paraId="7988DAD9">
      <w:pPr>
        <w:pStyle w:val="5"/>
        <w:spacing w:line="576" w:lineRule="exact"/>
        <w:ind w:firstLine="620" w:firstLineChars="200"/>
        <w:jc w:val="both"/>
        <w:rPr>
          <w:rFonts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签署</w:t>
      </w:r>
      <w:r>
        <w:rPr>
          <w:rFonts w:hint="eastAsia" w:ascii="仿宋_GB2312" w:hAnsi="仿宋_GB2312" w:eastAsia="仿宋_GB2312" w:cs="仿宋_GB2312"/>
          <w:spacing w:val="-5"/>
          <w:sz w:val="32"/>
          <w:szCs w:val="32"/>
          <w:lang w:val="en-US"/>
        </w:rPr>
        <w:t>日期</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rPr>
        <w:t xml:space="preserve">  </w:t>
      </w:r>
      <w:r>
        <w:rPr>
          <w:rFonts w:hint="eastAsia" w:ascii="仿宋_GB2312" w:hAnsi="仿宋_GB2312" w:eastAsia="仿宋_GB2312" w:cs="仿宋_GB2312"/>
          <w:spacing w:val="-5"/>
          <w:sz w:val="32"/>
          <w:szCs w:val="32"/>
        </w:rPr>
        <w:t>年</w:t>
      </w:r>
      <w:r>
        <w:rPr>
          <w:rFonts w:hint="eastAsia" w:ascii="仿宋_GB2312" w:hAnsi="仿宋_GB2312" w:eastAsia="仿宋_GB2312" w:cs="仿宋_GB2312"/>
          <w:spacing w:val="-5"/>
          <w:sz w:val="32"/>
          <w:szCs w:val="32"/>
          <w:lang w:val="en-US"/>
        </w:rPr>
        <w:t xml:space="preserve">  </w:t>
      </w:r>
      <w:r>
        <w:rPr>
          <w:rFonts w:hint="eastAsia" w:ascii="仿宋_GB2312" w:hAnsi="仿宋_GB2312" w:eastAsia="仿宋_GB2312" w:cs="仿宋_GB2312"/>
          <w:spacing w:val="-5"/>
          <w:sz w:val="32"/>
          <w:szCs w:val="32"/>
        </w:rPr>
        <w:t>月</w:t>
      </w:r>
      <w:r>
        <w:rPr>
          <w:rFonts w:hint="eastAsia" w:ascii="仿宋_GB2312" w:hAnsi="仿宋_GB2312" w:eastAsia="仿宋_GB2312" w:cs="仿宋_GB2312"/>
          <w:spacing w:val="-5"/>
          <w:sz w:val="32"/>
          <w:szCs w:val="32"/>
          <w:lang w:val="en-US"/>
        </w:rPr>
        <w:t xml:space="preserve">  </w:t>
      </w:r>
      <w:r>
        <w:rPr>
          <w:rFonts w:hint="eastAsia" w:ascii="仿宋_GB2312" w:hAnsi="仿宋_GB2312" w:eastAsia="仿宋_GB2312" w:cs="仿宋_GB2312"/>
          <w:spacing w:val="-5"/>
          <w:sz w:val="32"/>
          <w:szCs w:val="32"/>
        </w:rPr>
        <w:t>日</w:t>
      </w:r>
    </w:p>
    <w:p w14:paraId="0784AD4A">
      <w:pPr>
        <w:pStyle w:val="10"/>
        <w:ind w:left="680" w:firstLine="680"/>
      </w:pPr>
    </w:p>
    <w:p w14:paraId="3CB4AAD5">
      <w:pPr>
        <w:pStyle w:val="10"/>
        <w:ind w:left="680" w:firstLine="680"/>
      </w:pPr>
    </w:p>
    <w:p w14:paraId="5998BEF9">
      <w:pPr>
        <w:rPr>
          <w:rFonts w:hint="eastAsia" w:ascii="黑体" w:hAnsi="黑体" w:eastAsia="黑体" w:cs="黑体"/>
          <w:spacing w:val="-5"/>
          <w:sz w:val="32"/>
          <w:szCs w:val="32"/>
          <w:lang w:val="en-US"/>
        </w:rPr>
      </w:pPr>
      <w:r>
        <w:rPr>
          <w:rFonts w:hint="eastAsia" w:ascii="黑体" w:hAnsi="黑体" w:eastAsia="黑体" w:cs="黑体"/>
          <w:spacing w:val="-5"/>
          <w:sz w:val="32"/>
          <w:szCs w:val="32"/>
          <w:lang w:val="en-US"/>
        </w:rPr>
        <w:br w:type="page"/>
      </w:r>
    </w:p>
    <w:p w14:paraId="02971D5C">
      <w:pPr>
        <w:pStyle w:val="5"/>
        <w:spacing w:line="576" w:lineRule="exact"/>
        <w:jc w:val="both"/>
        <w:rPr>
          <w:rFonts w:ascii="黑体" w:hAnsi="黑体" w:eastAsia="黑体" w:cs="黑体"/>
          <w:spacing w:val="-5"/>
          <w:sz w:val="32"/>
          <w:szCs w:val="32"/>
          <w:lang w:val="en-US"/>
        </w:rPr>
      </w:pPr>
      <w:r>
        <w:rPr>
          <w:rFonts w:hint="eastAsia" w:ascii="黑体" w:hAnsi="黑体" w:eastAsia="黑体" w:cs="黑体"/>
          <w:spacing w:val="-5"/>
          <w:sz w:val="32"/>
          <w:szCs w:val="32"/>
          <w:lang w:val="en-US"/>
        </w:rPr>
        <w:t>附件</w:t>
      </w:r>
      <w:r>
        <w:rPr>
          <w:rFonts w:hint="eastAsia" w:ascii="黑体" w:hAnsi="黑体" w:eastAsia="黑体" w:cs="黑体"/>
          <w:spacing w:val="-5"/>
          <w:sz w:val="32"/>
          <w:szCs w:val="32"/>
          <w:lang w:val="en-US" w:eastAsia="zh-CN"/>
        </w:rPr>
        <w:t>1</w:t>
      </w:r>
      <w:r>
        <w:rPr>
          <w:rFonts w:hint="eastAsia" w:ascii="黑体" w:hAnsi="黑体" w:eastAsia="黑体" w:cs="黑体"/>
          <w:spacing w:val="-5"/>
          <w:sz w:val="32"/>
          <w:szCs w:val="32"/>
          <w:lang w:val="en-US"/>
        </w:rPr>
        <w:t>：相关产品型号及参数</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3029"/>
        <w:gridCol w:w="4210"/>
      </w:tblGrid>
      <w:tr w14:paraId="7AC2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03" w:type="pct"/>
            <w:vAlign w:val="center"/>
          </w:tcPr>
          <w:p w14:paraId="70662A92">
            <w:pPr>
              <w:spacing w:line="560" w:lineRule="exact"/>
              <w:jc w:val="center"/>
              <w:rPr>
                <w:rFonts w:ascii="黑体" w:hAnsi="黑体" w:eastAsia="黑体" w:cs="黑体"/>
                <w:kern w:val="2"/>
                <w:sz w:val="32"/>
                <w:szCs w:val="32"/>
              </w:rPr>
            </w:pPr>
            <w:r>
              <w:rPr>
                <w:rFonts w:hint="eastAsia" w:ascii="黑体" w:hAnsi="黑体" w:eastAsia="黑体" w:cs="黑体"/>
                <w:kern w:val="2"/>
                <w:sz w:val="32"/>
                <w:szCs w:val="32"/>
              </w:rPr>
              <w:t>名称</w:t>
            </w:r>
          </w:p>
        </w:tc>
        <w:tc>
          <w:tcPr>
            <w:tcW w:w="1672" w:type="pct"/>
            <w:vAlign w:val="center"/>
          </w:tcPr>
          <w:p w14:paraId="5FA22F0A">
            <w:pPr>
              <w:spacing w:line="560" w:lineRule="exact"/>
              <w:jc w:val="center"/>
              <w:rPr>
                <w:rFonts w:ascii="黑体" w:hAnsi="黑体" w:eastAsia="黑体" w:cs="黑体"/>
                <w:kern w:val="2"/>
                <w:sz w:val="32"/>
                <w:szCs w:val="32"/>
              </w:rPr>
            </w:pPr>
            <w:r>
              <w:rPr>
                <w:rFonts w:hint="eastAsia" w:ascii="黑体" w:hAnsi="黑体" w:eastAsia="黑体" w:cs="黑体"/>
                <w:kern w:val="2"/>
                <w:sz w:val="32"/>
                <w:szCs w:val="32"/>
              </w:rPr>
              <w:t>型号</w:t>
            </w:r>
          </w:p>
        </w:tc>
        <w:tc>
          <w:tcPr>
            <w:tcW w:w="2324" w:type="pct"/>
            <w:vAlign w:val="center"/>
          </w:tcPr>
          <w:p w14:paraId="2DF7292E">
            <w:pPr>
              <w:spacing w:line="560" w:lineRule="exact"/>
              <w:jc w:val="center"/>
              <w:rPr>
                <w:rFonts w:hint="eastAsia" w:ascii="黑体" w:hAnsi="黑体" w:eastAsia="黑体" w:cs="黑体"/>
                <w:kern w:val="2"/>
                <w:sz w:val="32"/>
                <w:szCs w:val="32"/>
                <w:lang w:eastAsia="zh-CN"/>
              </w:rPr>
            </w:pPr>
            <w:r>
              <w:rPr>
                <w:rFonts w:hint="eastAsia" w:ascii="黑体" w:hAnsi="黑体" w:eastAsia="黑体" w:cs="黑体"/>
                <w:kern w:val="2"/>
                <w:sz w:val="32"/>
                <w:szCs w:val="32"/>
              </w:rPr>
              <w:t>规格</w:t>
            </w:r>
            <w:r>
              <w:rPr>
                <w:rFonts w:hint="eastAsia" w:ascii="黑体" w:hAnsi="黑体" w:eastAsia="黑体" w:cs="黑体"/>
                <w:kern w:val="2"/>
                <w:sz w:val="32"/>
                <w:szCs w:val="32"/>
                <w:lang w:eastAsia="zh-CN"/>
              </w:rPr>
              <w:t>参数</w:t>
            </w:r>
          </w:p>
        </w:tc>
      </w:tr>
      <w:tr w14:paraId="09BF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pct"/>
            <w:vAlign w:val="center"/>
          </w:tcPr>
          <w:p w14:paraId="05A692B0">
            <w:pPr>
              <w:widowControl/>
              <w:jc w:val="center"/>
              <w:textAlignment w:val="center"/>
              <w:rPr>
                <w:rFonts w:hint="eastAsia" w:ascii="仿宋_GB2312" w:hAnsi="仿宋_GB2312" w:eastAsia="仿宋_GB2312" w:cs="仿宋_GB2312"/>
                <w:sz w:val="32"/>
                <w:szCs w:val="32"/>
              </w:rPr>
            </w:pPr>
          </w:p>
        </w:tc>
        <w:tc>
          <w:tcPr>
            <w:tcW w:w="1672" w:type="pct"/>
            <w:vAlign w:val="center"/>
          </w:tcPr>
          <w:p w14:paraId="18113CEB">
            <w:pPr>
              <w:widowControl/>
              <w:jc w:val="center"/>
              <w:textAlignment w:val="center"/>
              <w:rPr>
                <w:rFonts w:hint="eastAsia" w:ascii="仿宋_GB2312" w:hAnsi="仿宋_GB2312" w:eastAsia="仿宋_GB2312" w:cs="仿宋_GB2312"/>
                <w:sz w:val="32"/>
                <w:szCs w:val="32"/>
              </w:rPr>
            </w:pPr>
          </w:p>
        </w:tc>
        <w:tc>
          <w:tcPr>
            <w:tcW w:w="2324" w:type="pct"/>
            <w:shd w:val="clear" w:color="auto" w:fill="auto"/>
            <w:vAlign w:val="center"/>
          </w:tcPr>
          <w:p w14:paraId="66973ABA">
            <w:pPr>
              <w:keepNext w:val="0"/>
              <w:keepLines w:val="0"/>
              <w:widowControl/>
              <w:suppressLineNumbers w:val="0"/>
              <w:spacing w:line="400" w:lineRule="exact"/>
              <w:jc w:val="left"/>
              <w:textAlignment w:val="center"/>
              <w:rPr>
                <w:rFonts w:hint="eastAsia" w:ascii="仿宋_GB2312" w:hAnsi="仿宋_GB2312" w:eastAsia="仿宋_GB2312" w:cs="仿宋_GB2312"/>
                <w:color w:val="auto"/>
                <w:kern w:val="0"/>
                <w:sz w:val="32"/>
                <w:szCs w:val="32"/>
                <w:highlight w:val="none"/>
                <w:u w:val="none"/>
                <w:vertAlign w:val="baseline"/>
                <w:lang w:val="en-US" w:eastAsia="zh-CN" w:bidi="ar-SA"/>
              </w:rPr>
            </w:pPr>
          </w:p>
        </w:tc>
      </w:tr>
      <w:tr w14:paraId="18E0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pct"/>
            <w:vAlign w:val="center"/>
          </w:tcPr>
          <w:p w14:paraId="7C2EF33D">
            <w:pPr>
              <w:widowControl/>
              <w:jc w:val="center"/>
              <w:textAlignment w:val="center"/>
              <w:rPr>
                <w:rFonts w:hint="eastAsia" w:ascii="仿宋_GB2312" w:hAnsi="仿宋_GB2312" w:eastAsia="仿宋_GB2312" w:cs="仿宋_GB2312"/>
                <w:sz w:val="32"/>
                <w:szCs w:val="32"/>
              </w:rPr>
            </w:pPr>
          </w:p>
        </w:tc>
        <w:tc>
          <w:tcPr>
            <w:tcW w:w="1672" w:type="pct"/>
            <w:shd w:val="clear" w:color="auto" w:fill="auto"/>
            <w:vAlign w:val="center"/>
          </w:tcPr>
          <w:p w14:paraId="19557D41">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sz w:val="32"/>
                <w:szCs w:val="32"/>
                <w:highlight w:val="none"/>
                <w:u w:val="none"/>
                <w:lang w:val="en-US" w:eastAsia="zh-CN" w:bidi="ar-SA"/>
              </w:rPr>
            </w:pPr>
          </w:p>
        </w:tc>
        <w:tc>
          <w:tcPr>
            <w:tcW w:w="2324" w:type="pct"/>
            <w:shd w:val="clear" w:color="auto" w:fill="auto"/>
            <w:vAlign w:val="center"/>
          </w:tcPr>
          <w:p w14:paraId="2C83BA55">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color w:val="auto"/>
                <w:sz w:val="32"/>
                <w:szCs w:val="32"/>
                <w:highlight w:val="none"/>
                <w:u w:val="none"/>
                <w:lang w:val="en-US" w:eastAsia="zh-CN" w:bidi="ar-SA"/>
              </w:rPr>
            </w:pPr>
          </w:p>
        </w:tc>
      </w:tr>
      <w:tr w14:paraId="4CBE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pct"/>
            <w:vAlign w:val="center"/>
          </w:tcPr>
          <w:p w14:paraId="19F94144">
            <w:pPr>
              <w:widowControl/>
              <w:jc w:val="center"/>
              <w:textAlignment w:val="center"/>
              <w:rPr>
                <w:rFonts w:hint="eastAsia" w:ascii="仿宋_GB2312" w:hAnsi="仿宋_GB2312" w:eastAsia="仿宋_GB2312" w:cs="仿宋_GB2312"/>
                <w:sz w:val="32"/>
                <w:szCs w:val="32"/>
                <w:lang w:bidi="ar"/>
              </w:rPr>
            </w:pPr>
          </w:p>
        </w:tc>
        <w:tc>
          <w:tcPr>
            <w:tcW w:w="1672" w:type="pct"/>
            <w:shd w:val="clear" w:color="auto" w:fill="auto"/>
            <w:vAlign w:val="center"/>
          </w:tcPr>
          <w:p w14:paraId="51D8802E">
            <w:pPr>
              <w:keepNext w:val="0"/>
              <w:keepLines w:val="0"/>
              <w:widowControl/>
              <w:suppressLineNumbers w:val="0"/>
              <w:spacing w:line="400" w:lineRule="exact"/>
              <w:jc w:val="center"/>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p>
        </w:tc>
        <w:tc>
          <w:tcPr>
            <w:tcW w:w="2324" w:type="pct"/>
            <w:shd w:val="clear" w:color="auto" w:fill="auto"/>
            <w:vAlign w:val="center"/>
          </w:tcPr>
          <w:p w14:paraId="1A2C896B">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color w:val="auto"/>
                <w:kern w:val="0"/>
                <w:sz w:val="32"/>
                <w:szCs w:val="32"/>
                <w:highlight w:val="none"/>
                <w:u w:val="none"/>
                <w:lang w:val="en-US" w:eastAsia="zh-CN" w:bidi="ar"/>
              </w:rPr>
            </w:pPr>
          </w:p>
        </w:tc>
      </w:tr>
      <w:tr w14:paraId="5F25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pct"/>
            <w:vAlign w:val="center"/>
          </w:tcPr>
          <w:p w14:paraId="511DAFEF">
            <w:pPr>
              <w:widowControl/>
              <w:jc w:val="center"/>
              <w:textAlignment w:val="center"/>
              <w:rPr>
                <w:rFonts w:hint="eastAsia" w:ascii="仿宋_GB2312" w:hAnsi="仿宋_GB2312" w:eastAsia="仿宋_GB2312" w:cs="仿宋_GB2312"/>
                <w:sz w:val="32"/>
                <w:szCs w:val="32"/>
                <w:lang w:bidi="ar"/>
              </w:rPr>
            </w:pPr>
          </w:p>
        </w:tc>
        <w:tc>
          <w:tcPr>
            <w:tcW w:w="1672" w:type="pct"/>
            <w:vAlign w:val="center"/>
          </w:tcPr>
          <w:p w14:paraId="3446A9DB">
            <w:pPr>
              <w:widowControl/>
              <w:jc w:val="center"/>
              <w:textAlignment w:val="center"/>
              <w:rPr>
                <w:rFonts w:hint="eastAsia" w:ascii="仿宋_GB2312" w:hAnsi="仿宋_GB2312" w:eastAsia="仿宋_GB2312" w:cs="仿宋_GB2312"/>
                <w:sz w:val="32"/>
                <w:szCs w:val="32"/>
              </w:rPr>
            </w:pPr>
          </w:p>
        </w:tc>
        <w:tc>
          <w:tcPr>
            <w:tcW w:w="2324" w:type="pct"/>
            <w:shd w:val="clear" w:color="auto" w:fill="auto"/>
            <w:vAlign w:val="center"/>
          </w:tcPr>
          <w:p w14:paraId="4792E27C">
            <w:pPr>
              <w:keepNext w:val="0"/>
              <w:keepLines w:val="0"/>
              <w:widowControl/>
              <w:suppressLineNumbers w:val="0"/>
              <w:spacing w:line="400" w:lineRule="exact"/>
              <w:jc w:val="left"/>
              <w:textAlignment w:val="center"/>
              <w:rPr>
                <w:rFonts w:hint="eastAsia" w:ascii="仿宋_GB2312" w:hAnsi="仿宋_GB2312" w:eastAsia="仿宋_GB2312" w:cs="仿宋_GB2312"/>
                <w:i w:val="0"/>
                <w:iCs w:val="0"/>
                <w:color w:val="auto"/>
                <w:sz w:val="32"/>
                <w:szCs w:val="32"/>
                <w:highlight w:val="none"/>
                <w:u w:val="none"/>
                <w:lang w:val="en-US" w:eastAsia="zh-CN" w:bidi="ar-SA"/>
              </w:rPr>
            </w:pPr>
          </w:p>
        </w:tc>
      </w:tr>
      <w:tr w14:paraId="4A39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pct"/>
            <w:vAlign w:val="center"/>
          </w:tcPr>
          <w:p w14:paraId="3EF1F0B2">
            <w:pPr>
              <w:widowControl/>
              <w:jc w:val="center"/>
              <w:textAlignment w:val="center"/>
              <w:rPr>
                <w:rFonts w:hint="eastAsia" w:ascii="仿宋_GB2312" w:hAnsi="仿宋_GB2312" w:eastAsia="仿宋_GB2312" w:cs="仿宋_GB2312"/>
                <w:sz w:val="32"/>
                <w:szCs w:val="32"/>
              </w:rPr>
            </w:pPr>
          </w:p>
        </w:tc>
        <w:tc>
          <w:tcPr>
            <w:tcW w:w="1672" w:type="pct"/>
            <w:vAlign w:val="center"/>
          </w:tcPr>
          <w:p w14:paraId="686309A1">
            <w:pPr>
              <w:widowControl/>
              <w:jc w:val="center"/>
              <w:textAlignment w:val="center"/>
              <w:rPr>
                <w:rFonts w:hint="eastAsia" w:ascii="仿宋_GB2312" w:hAnsi="仿宋_GB2312" w:eastAsia="仿宋_GB2312" w:cs="仿宋_GB2312"/>
                <w:sz w:val="32"/>
                <w:szCs w:val="32"/>
              </w:rPr>
            </w:pPr>
          </w:p>
        </w:tc>
        <w:tc>
          <w:tcPr>
            <w:tcW w:w="2324" w:type="pct"/>
            <w:vAlign w:val="center"/>
          </w:tcPr>
          <w:p w14:paraId="3D60A65B">
            <w:pPr>
              <w:widowControl/>
              <w:jc w:val="left"/>
              <w:textAlignment w:val="center"/>
              <w:rPr>
                <w:rFonts w:hint="eastAsia" w:ascii="仿宋_GB2312" w:hAnsi="仿宋_GB2312" w:eastAsia="仿宋_GB2312" w:cs="仿宋_GB2312"/>
                <w:sz w:val="32"/>
                <w:szCs w:val="32"/>
              </w:rPr>
            </w:pPr>
          </w:p>
        </w:tc>
      </w:tr>
    </w:tbl>
    <w:p w14:paraId="10FC5BB5">
      <w:pPr>
        <w:pStyle w:val="10"/>
        <w:ind w:left="0" w:leftChars="0" w:firstLine="0" w:firstLineChars="0"/>
        <w:jc w:val="left"/>
        <w:rPr>
          <w:sz w:val="24"/>
          <w:szCs w:val="24"/>
        </w:rPr>
      </w:pPr>
    </w:p>
    <w:p w14:paraId="1EB24CBA">
      <w:pPr>
        <w:pStyle w:val="10"/>
        <w:ind w:left="0" w:leftChars="0" w:firstLine="0" w:firstLineChars="0"/>
        <w:jc w:val="left"/>
        <w:rPr>
          <w:sz w:val="24"/>
          <w:szCs w:val="24"/>
        </w:rPr>
      </w:pPr>
    </w:p>
    <w:p w14:paraId="344B2815">
      <w:pPr>
        <w:pStyle w:val="10"/>
        <w:ind w:left="0" w:leftChars="0" w:firstLine="0" w:firstLineChars="0"/>
        <w:jc w:val="left"/>
        <w:rPr>
          <w:sz w:val="24"/>
          <w:szCs w:val="24"/>
        </w:rPr>
      </w:pPr>
    </w:p>
    <w:p w14:paraId="5BA15B08">
      <w:pPr>
        <w:pStyle w:val="10"/>
        <w:ind w:left="0" w:leftChars="0" w:firstLine="0" w:firstLineChars="0"/>
        <w:jc w:val="left"/>
        <w:rPr>
          <w:sz w:val="24"/>
          <w:szCs w:val="24"/>
        </w:rPr>
      </w:pPr>
    </w:p>
    <w:p w14:paraId="6F3CB7FA">
      <w:pPr>
        <w:pStyle w:val="10"/>
        <w:ind w:left="0" w:leftChars="0" w:firstLine="0" w:firstLineChars="0"/>
        <w:jc w:val="left"/>
        <w:rPr>
          <w:sz w:val="24"/>
          <w:szCs w:val="24"/>
        </w:rPr>
      </w:pPr>
    </w:p>
    <w:p w14:paraId="0E49D2A8">
      <w:pPr>
        <w:pStyle w:val="10"/>
        <w:ind w:left="0" w:leftChars="0" w:firstLine="0" w:firstLineChars="0"/>
        <w:jc w:val="left"/>
        <w:rPr>
          <w:sz w:val="24"/>
          <w:szCs w:val="24"/>
        </w:rPr>
      </w:pPr>
    </w:p>
    <w:p w14:paraId="3D4A18EC">
      <w:pPr>
        <w:pStyle w:val="10"/>
        <w:ind w:left="0" w:leftChars="0" w:firstLine="0" w:firstLineChars="0"/>
        <w:jc w:val="left"/>
        <w:rPr>
          <w:sz w:val="24"/>
          <w:szCs w:val="24"/>
        </w:rPr>
      </w:pPr>
    </w:p>
    <w:p w14:paraId="07705F33">
      <w:pPr>
        <w:pStyle w:val="10"/>
        <w:ind w:left="0" w:leftChars="0" w:firstLine="0" w:firstLineChars="0"/>
        <w:jc w:val="left"/>
        <w:rPr>
          <w:sz w:val="24"/>
          <w:szCs w:val="24"/>
        </w:rPr>
      </w:pPr>
    </w:p>
    <w:p w14:paraId="4B364EF9">
      <w:pPr>
        <w:pStyle w:val="10"/>
        <w:ind w:left="0" w:leftChars="0" w:firstLine="0" w:firstLineChars="0"/>
        <w:jc w:val="left"/>
        <w:rPr>
          <w:sz w:val="24"/>
          <w:szCs w:val="24"/>
        </w:rPr>
      </w:pPr>
    </w:p>
    <w:p w14:paraId="6CB0B460">
      <w:pPr>
        <w:pStyle w:val="10"/>
        <w:ind w:left="0" w:leftChars="0" w:firstLine="0" w:firstLineChars="0"/>
        <w:jc w:val="left"/>
        <w:rPr>
          <w:sz w:val="24"/>
          <w:szCs w:val="24"/>
        </w:rPr>
      </w:pPr>
    </w:p>
    <w:p w14:paraId="2C2B2CA0">
      <w:pPr>
        <w:pStyle w:val="10"/>
        <w:ind w:left="0" w:leftChars="0" w:firstLine="0" w:firstLineChars="0"/>
        <w:jc w:val="left"/>
        <w:rPr>
          <w:sz w:val="24"/>
          <w:szCs w:val="24"/>
        </w:rPr>
      </w:pPr>
    </w:p>
    <w:p w14:paraId="329F0F6D">
      <w:pPr>
        <w:pStyle w:val="10"/>
        <w:ind w:left="0" w:leftChars="0" w:firstLine="0" w:firstLineChars="0"/>
        <w:jc w:val="left"/>
        <w:rPr>
          <w:sz w:val="24"/>
          <w:szCs w:val="24"/>
        </w:rPr>
      </w:pPr>
    </w:p>
    <w:p w14:paraId="23319A07">
      <w:pPr>
        <w:pStyle w:val="10"/>
        <w:ind w:left="0" w:leftChars="0" w:firstLine="0" w:firstLineChars="0"/>
        <w:jc w:val="left"/>
        <w:rPr>
          <w:sz w:val="24"/>
          <w:szCs w:val="24"/>
        </w:rPr>
      </w:pPr>
      <w:bookmarkStart w:id="4" w:name="_GoBack"/>
      <w:bookmarkEnd w:id="4"/>
    </w:p>
    <w:p w14:paraId="304E76F4">
      <w:pPr>
        <w:pStyle w:val="10"/>
        <w:ind w:left="0" w:leftChars="0" w:firstLine="0" w:firstLineChars="0"/>
        <w:jc w:val="left"/>
        <w:rPr>
          <w:sz w:val="24"/>
          <w:szCs w:val="24"/>
        </w:rPr>
      </w:pPr>
    </w:p>
    <w:p w14:paraId="5F357C67">
      <w:pPr>
        <w:pStyle w:val="10"/>
        <w:ind w:left="0" w:leftChars="0" w:firstLine="0" w:firstLineChars="0"/>
        <w:jc w:val="left"/>
        <w:rPr>
          <w:sz w:val="24"/>
          <w:szCs w:val="24"/>
        </w:rPr>
      </w:pPr>
    </w:p>
    <w:p w14:paraId="2C961E24">
      <w:pPr>
        <w:rPr>
          <w:rFonts w:hint="eastAsia" w:ascii="黑体" w:hAnsi="黑体" w:eastAsia="黑体" w:cs="黑体"/>
          <w:b w:val="0"/>
          <w:bCs/>
          <w:color w:val="auto"/>
          <w:sz w:val="32"/>
          <w:szCs w:val="30"/>
          <w:highlight w:val="none"/>
          <w:lang w:val="en-US" w:eastAsia="zh-CN"/>
        </w:rPr>
      </w:pPr>
      <w:r>
        <w:rPr>
          <w:rFonts w:hint="eastAsia" w:ascii="黑体" w:hAnsi="黑体" w:eastAsia="黑体" w:cs="黑体"/>
          <w:b w:val="0"/>
          <w:bCs/>
          <w:color w:val="auto"/>
          <w:sz w:val="32"/>
          <w:szCs w:val="30"/>
          <w:highlight w:val="none"/>
          <w:lang w:val="en-US" w:eastAsia="zh-CN"/>
        </w:rPr>
        <w:t>附件2：供应商信用承诺函</w:t>
      </w:r>
    </w:p>
    <w:p w14:paraId="7B22324E">
      <w:pPr>
        <w:jc w:val="center"/>
        <w:outlineLvl w:val="9"/>
        <w:rPr>
          <w:rFonts w:hint="eastAsia" w:ascii="黑体" w:hAnsi="黑体" w:eastAsia="黑体" w:cs="黑体"/>
          <w:b w:val="0"/>
          <w:bCs/>
          <w:color w:val="auto"/>
          <w:sz w:val="32"/>
          <w:szCs w:val="30"/>
          <w:highlight w:val="none"/>
          <w:lang w:val="en-US" w:eastAsia="zh-CN"/>
        </w:rPr>
      </w:pPr>
      <w:r>
        <w:rPr>
          <w:rFonts w:hint="eastAsia" w:ascii="黑体" w:hAnsi="黑体" w:eastAsia="黑体" w:cs="黑体"/>
          <w:b w:val="0"/>
          <w:bCs/>
          <w:color w:val="auto"/>
          <w:sz w:val="32"/>
          <w:szCs w:val="30"/>
          <w:highlight w:val="none"/>
          <w:lang w:val="en-US" w:eastAsia="zh-CN"/>
        </w:rPr>
        <w:t>供应商信用承诺函</w:t>
      </w:r>
    </w:p>
    <w:p w14:paraId="542665C1">
      <w:pPr>
        <w:widowControl/>
        <w:adjustRightInd w:val="0"/>
        <w:snapToGrid w:val="0"/>
        <w:spacing w:line="560" w:lineRule="exact"/>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致：海口市产业发展投资集团有限公司​</w:t>
      </w:r>
    </w:p>
    <w:p w14:paraId="3C0438E7">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我司参与</w:t>
      </w:r>
      <w:r>
        <w:rPr>
          <w:rFonts w:hint="eastAsia" w:ascii="仿宋_GB2312" w:hAnsi="仿宋_GB2312" w:eastAsia="仿宋_GB2312" w:cs="仿宋_GB2312"/>
          <w:sz w:val="28"/>
          <w:szCs w:val="28"/>
          <w:highlight w:val="none"/>
          <w:u w:val="single"/>
          <w:lang w:val="en-US" w:eastAsia="zh-CN" w:bidi="ar"/>
        </w:rPr>
        <w:t xml:space="preserve">                 </w:t>
      </w:r>
      <w:r>
        <w:rPr>
          <w:rFonts w:hint="eastAsia" w:ascii="仿宋_GB2312" w:hAnsi="仿宋_GB2312" w:eastAsia="仿宋_GB2312" w:cs="仿宋_GB2312"/>
          <w:sz w:val="28"/>
          <w:szCs w:val="28"/>
          <w:highlight w:val="none"/>
          <w:lang w:val="en-US" w:eastAsia="zh-CN" w:bidi="ar"/>
        </w:rPr>
        <w:t>项目竞价比选活动，现我司郑重承诺如下：</w:t>
      </w:r>
    </w:p>
    <w:p w14:paraId="32193209">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一、截至本承诺函签署之日，我司不存在下列情形：</w:t>
      </w:r>
    </w:p>
    <w:p w14:paraId="5EED5E26">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（一）供应商相互串通投标或者与采购人串通投标的，供应商向采购人或者评标委员会成员行贿的；</w:t>
      </w:r>
    </w:p>
    <w:p w14:paraId="2CFA3DBF">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（二）以他人名义投标、提供虚假材料或者以其他方式弄虚作假的；</w:t>
      </w:r>
    </w:p>
    <w:p w14:paraId="3D984B22">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（三）出让或者出租资格、资质证书供他人投标的；</w:t>
      </w:r>
    </w:p>
    <w:p w14:paraId="4F3BB311">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（四）供应商或者其他利害关系人捏造事实、伪造材料或者以非法手段取得证明材料进行投诉，给他人造成损失的；</w:t>
      </w:r>
    </w:p>
    <w:p w14:paraId="024DA1CE">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（五）成交人将成交项目转让给他人的，将成交项目肢解后分别转让给他人的，违反《中华人民共和国招标投标法》规定将成交项目的部分主体、关键性工作分包给他人的，或者分包人再次分包的；</w:t>
      </w:r>
    </w:p>
    <w:p w14:paraId="27E7E891">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（六）成交人无正当理由不与采购人订立合同，在签订合同时向采购人提出附加条件，或者不按照采购文件要求提交履约保证金的；</w:t>
      </w:r>
    </w:p>
    <w:p w14:paraId="082B460A">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（七）拒绝有关部门监督检查或者提供虚假情况的；</w:t>
      </w:r>
    </w:p>
    <w:p w14:paraId="6AD2F747">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（八）提供假冒伪劣产品；</w:t>
      </w:r>
    </w:p>
    <w:p w14:paraId="1C0ACED4">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（九）无正当理由擅自变更、中止或者终止合同；</w:t>
      </w:r>
    </w:p>
    <w:p w14:paraId="4F5F11A6">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（十）因供应商原因发生较大及以上安全、质量、环保事故（政府主管部门定性）；</w:t>
      </w:r>
    </w:p>
    <w:p w14:paraId="7838C646">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（十一）框架协议采购项目在框架协议期内拒绝接受采购订单数量达3个的；</w:t>
      </w:r>
    </w:p>
    <w:p w14:paraId="0A65E180">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（十二）泄露海口市产业发展投资集团有限公司或子公司的商业秘密，产生不良影响的；</w:t>
      </w:r>
    </w:p>
    <w:p w14:paraId="6175EBA3">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（十三）因供应商自身或其分包单位原因在项目实施过程中产生上访、围堵、重大舆情等恶性事件，影响海口市产业发展投资集团有限公司或子公司声誉的；</w:t>
      </w:r>
    </w:p>
    <w:p w14:paraId="095DF86D">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（十四）擅自更换核心团队/主设备品牌，降低配置，构成实质性违约的；</w:t>
      </w:r>
    </w:p>
    <w:p w14:paraId="476842FB">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（十五）报价失误、漏项导致合同无法履行，又不接受调价或终止合同的；</w:t>
      </w:r>
    </w:p>
    <w:p w14:paraId="06E8F774">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（十六）其他违反国家法律、法规行为的。</w:t>
      </w:r>
    </w:p>
    <w:p w14:paraId="32B5C2AB">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 xml:space="preserve">二、我司已充分知晓并同意：若贵单位发现我司存在上述情形之一的，无论本项目进展至何种阶段（包括但不限于响应文件递交、评审、结果公示、合同签订等），贵单位均有权将我司纳入贵单位不良信用主体名单库，并按以下方式处理： </w:t>
      </w:r>
    </w:p>
    <w:p w14:paraId="6DEED798">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（一）已提交响应文件的供应商尚未完成评审的，作否决响应资格处理；</w:t>
      </w:r>
    </w:p>
    <w:p w14:paraId="44DAD6EE">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（二）尚未发出成交（入围）通知书的，取消成交（入围）资格；</w:t>
      </w:r>
    </w:p>
    <w:p w14:paraId="38337A90">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（三）已签订框架协议的，不授予新的订单。</w:t>
      </w:r>
    </w:p>
    <w:p w14:paraId="74008A2D">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同时，我司将承担由此给采购人、采购代理机构造成的全部损失（包括但不限于重新采购的费用、工期延误损失等）。</w:t>
      </w:r>
    </w:p>
    <w:p w14:paraId="5F06721E">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三、我司保证本承诺函内容真实、准确、完整，不存在任何虚假陈述、隐瞒事实或误导性表述等情形。若本承诺函内容与事实不符，我司自愿接受相关行政监督部门的处罚，并承担由此产生的全部法律责任（包括但不限于对采购人的违约赔偿责任、相应的行政处罚责任等）。</w:t>
      </w:r>
    </w:p>
    <w:p w14:paraId="6242B274">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四、本承诺函自我司法定代表人或授权代表人签字并加盖公章之日起生效，对我司具有法律约束力。​</w:t>
      </w:r>
    </w:p>
    <w:p w14:paraId="63240CCE">
      <w:pPr>
        <w:widowControl/>
        <w:adjustRightInd w:val="0"/>
        <w:snapToGrid w:val="0"/>
        <w:spacing w:line="560" w:lineRule="exact"/>
        <w:ind w:firstLine="560" w:firstLineChars="2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特此承诺！​</w:t>
      </w:r>
    </w:p>
    <w:p w14:paraId="2B856427">
      <w:pPr>
        <w:widowControl/>
        <w:adjustRightInd w:val="0"/>
        <w:snapToGrid w:val="0"/>
        <w:spacing w:line="560" w:lineRule="exact"/>
        <w:jc w:val="both"/>
        <w:rPr>
          <w:rFonts w:hint="eastAsia" w:ascii="仿宋_GB2312" w:hAnsi="仿宋_GB2312" w:eastAsia="仿宋_GB2312" w:cs="仿宋_GB2312"/>
          <w:sz w:val="28"/>
          <w:szCs w:val="28"/>
          <w:highlight w:val="none"/>
          <w:lang w:val="en-US" w:eastAsia="zh-CN" w:bidi="ar"/>
        </w:rPr>
      </w:pPr>
    </w:p>
    <w:p w14:paraId="7E80084B">
      <w:pPr>
        <w:widowControl/>
        <w:adjustRightInd w:val="0"/>
        <w:snapToGrid w:val="0"/>
        <w:spacing w:line="560" w:lineRule="exact"/>
        <w:jc w:val="both"/>
        <w:rPr>
          <w:rFonts w:hint="eastAsia" w:ascii="仿宋_GB2312" w:hAnsi="仿宋_GB2312" w:eastAsia="仿宋_GB2312" w:cs="仿宋_GB2312"/>
          <w:sz w:val="28"/>
          <w:szCs w:val="28"/>
          <w:highlight w:val="none"/>
          <w:lang w:val="en-US" w:eastAsia="zh-CN" w:bidi="ar"/>
        </w:rPr>
      </w:pPr>
    </w:p>
    <w:p w14:paraId="05FB02B0">
      <w:pPr>
        <w:pageBreakBefore w:val="0"/>
        <w:widowControl/>
        <w:wordWrap/>
        <w:topLinePunct w:val="0"/>
        <w:bidi w:val="0"/>
        <w:adjustRightInd w:val="0"/>
        <w:snapToGrid w:val="0"/>
        <w:spacing w:beforeLines="0" w:afterLines="0" w:line="560" w:lineRule="exact"/>
        <w:ind w:left="3780" w:leftChars="0" w:firstLine="420" w:firstLineChars="0"/>
        <w:jc w:val="both"/>
        <w:rPr>
          <w:rFonts w:hint="eastAsia" w:ascii="仿宋_GB2312" w:hAnsi="仿宋_GB2312" w:eastAsia="仿宋_GB2312" w:cs="仿宋_GB2312"/>
          <w:kern w:val="2"/>
          <w:sz w:val="28"/>
          <w:szCs w:val="28"/>
          <w:highlight w:val="none"/>
          <w:lang w:val="en-US" w:eastAsia="zh-CN" w:bidi="ar"/>
          <w14:ligatures w14:val="none"/>
        </w:rPr>
      </w:pPr>
      <w:r>
        <w:rPr>
          <w:rFonts w:hint="eastAsia" w:ascii="仿宋_GB2312" w:hAnsi="仿宋_GB2312" w:eastAsia="仿宋_GB2312" w:cs="仿宋_GB2312"/>
          <w:kern w:val="2"/>
          <w:sz w:val="28"/>
          <w:szCs w:val="28"/>
          <w:highlight w:val="none"/>
          <w:lang w:val="en-US" w:eastAsia="zh-CN" w:bidi="ar"/>
          <w14:ligatures w14:val="none"/>
        </w:rPr>
        <w:t xml:space="preserve">承诺人名称（盖章）：              </w:t>
      </w:r>
    </w:p>
    <w:p w14:paraId="55645EE1">
      <w:pPr>
        <w:widowControl/>
        <w:adjustRightInd w:val="0"/>
        <w:snapToGrid w:val="0"/>
        <w:spacing w:line="560" w:lineRule="exact"/>
        <w:ind w:firstLine="2800" w:firstLineChars="1000"/>
        <w:jc w:val="both"/>
        <w:rPr>
          <w:rFonts w:hint="eastAsia" w:ascii="仿宋_GB2312" w:hAnsi="仿宋_GB2312" w:eastAsia="仿宋_GB2312" w:cs="仿宋_GB2312"/>
          <w:sz w:val="28"/>
          <w:szCs w:val="28"/>
          <w:highlight w:val="none"/>
          <w:lang w:val="en-US" w:eastAsia="zh-CN" w:bidi="ar"/>
        </w:rPr>
      </w:pPr>
      <w:r>
        <w:rPr>
          <w:rFonts w:hint="eastAsia" w:ascii="仿宋_GB2312" w:hAnsi="仿宋_GB2312" w:eastAsia="仿宋_GB2312" w:cs="仿宋_GB2312"/>
          <w:sz w:val="28"/>
          <w:szCs w:val="28"/>
          <w:highlight w:val="none"/>
          <w:lang w:val="en-US" w:eastAsia="zh-CN" w:bidi="ar"/>
        </w:rPr>
        <w:t>法定代表人或其委托代理人：           （签字）</w:t>
      </w:r>
    </w:p>
    <w:p w14:paraId="4BDC800E">
      <w:pPr>
        <w:pageBreakBefore w:val="0"/>
        <w:widowControl/>
        <w:wordWrap/>
        <w:topLinePunct w:val="0"/>
        <w:bidi w:val="0"/>
        <w:adjustRightInd w:val="0"/>
        <w:snapToGrid w:val="0"/>
        <w:spacing w:beforeLines="0" w:afterLines="0" w:line="560" w:lineRule="exact"/>
        <w:jc w:val="both"/>
        <w:rPr>
          <w:rFonts w:hint="default" w:ascii="仿宋_GB2312" w:hAnsi="仿宋_GB2312" w:eastAsia="仿宋_GB2312" w:cs="仿宋_GB2312"/>
          <w:kern w:val="2"/>
          <w:sz w:val="28"/>
          <w:szCs w:val="28"/>
          <w:highlight w:val="none"/>
          <w:lang w:val="en-US" w:eastAsia="zh-CN" w:bidi="ar"/>
          <w14:ligatures w14:val="none"/>
        </w:rPr>
      </w:pPr>
      <w:r>
        <w:rPr>
          <w:rFonts w:hint="eastAsia" w:ascii="仿宋_GB2312" w:hAnsi="仿宋_GB2312" w:eastAsia="仿宋_GB2312" w:cs="仿宋_GB2312"/>
          <w:kern w:val="2"/>
          <w:sz w:val="28"/>
          <w:szCs w:val="28"/>
          <w:highlight w:val="none"/>
          <w:lang w:val="en-US" w:eastAsia="zh-CN" w:bidi="ar"/>
          <w14:ligatures w14:val="none"/>
        </w:rPr>
        <w:t xml:space="preserve">                              日    期：     年  月  日</w:t>
      </w:r>
    </w:p>
    <w:p w14:paraId="5C2AB52D">
      <w:pPr>
        <w:widowControl/>
        <w:adjustRightInd/>
        <w:snapToGrid/>
        <w:spacing w:beforeLines="0" w:afterLines="0" w:line="560" w:lineRule="exact"/>
        <w:jc w:val="left"/>
        <w:rPr>
          <w:rFonts w:hint="eastAsia" w:ascii="仿宋_GB2312" w:hAnsi="仿宋_GB2312" w:eastAsia="仿宋_GB2312" w:cs="仿宋_GB2312"/>
          <w:sz w:val="28"/>
          <w:szCs w:val="28"/>
          <w:highlight w:val="none"/>
          <w:lang w:val="en-US" w:eastAsia="zh-CN" w:bidi="ar"/>
        </w:rPr>
      </w:pPr>
    </w:p>
    <w:p w14:paraId="4935D59D">
      <w:pPr>
        <w:pStyle w:val="10"/>
        <w:ind w:left="0" w:leftChars="0" w:firstLine="0" w:firstLineChars="0"/>
        <w:jc w:val="left"/>
        <w:rPr>
          <w:sz w:val="24"/>
          <w:szCs w:val="24"/>
        </w:rPr>
      </w:pPr>
    </w:p>
    <w:sectPr>
      <w:footerReference r:id="rId3" w:type="default"/>
      <w:pgSz w:w="11906" w:h="16838"/>
      <w:pgMar w:top="2098" w:right="1474" w:bottom="1984" w:left="1588" w:header="851" w:footer="992" w:gutter="0"/>
      <w:cols w:space="0" w:num="1"/>
      <w:docGrid w:type="lines" w:linePitch="4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noto sans thai">
    <w:panose1 w:val="020B0502040504020204"/>
    <w:charset w:val="00"/>
    <w:family w:val="auto"/>
    <w:pitch w:val="default"/>
    <w:sig w:usb0="81000063" w:usb1="00002000" w:usb2="00000000" w:usb3="00000000" w:csb0="0001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30079">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DD40CA">
                          <w:pPr>
                            <w:pStyle w:val="7"/>
                            <w:rPr>
                              <w:rFonts w:hAnsi="宋体" w:cs="宋体"/>
                              <w:sz w:val="28"/>
                              <w:szCs w:val="28"/>
                            </w:rPr>
                          </w:pPr>
                          <w:r>
                            <w:rPr>
                              <w:rFonts w:hint="eastAsia" w:hAnsi="宋体" w:cs="宋体"/>
                              <w:sz w:val="28"/>
                              <w:szCs w:val="28"/>
                            </w:rPr>
                            <w:t xml:space="preserve">— </w:t>
                          </w:r>
                          <w:r>
                            <w:rPr>
                              <w:rFonts w:hint="eastAsia" w:hAnsi="宋体" w:cs="宋体"/>
                              <w:sz w:val="28"/>
                              <w:szCs w:val="28"/>
                            </w:rPr>
                            <w:fldChar w:fldCharType="begin"/>
                          </w:r>
                          <w:r>
                            <w:rPr>
                              <w:rFonts w:hint="eastAsia" w:hAnsi="宋体" w:cs="宋体"/>
                              <w:sz w:val="28"/>
                              <w:szCs w:val="28"/>
                            </w:rPr>
                            <w:instrText xml:space="preserve"> PAGE  \* MERGEFORMAT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3DD40CA">
                    <w:pPr>
                      <w:pStyle w:val="7"/>
                      <w:rPr>
                        <w:rFonts w:hAnsi="宋体" w:cs="宋体"/>
                        <w:sz w:val="28"/>
                        <w:szCs w:val="28"/>
                      </w:rPr>
                    </w:pPr>
                    <w:r>
                      <w:rPr>
                        <w:rFonts w:hint="eastAsia" w:hAnsi="宋体" w:cs="宋体"/>
                        <w:sz w:val="28"/>
                        <w:szCs w:val="28"/>
                      </w:rPr>
                      <w:t xml:space="preserve">— </w:t>
                    </w:r>
                    <w:r>
                      <w:rPr>
                        <w:rFonts w:hint="eastAsia" w:hAnsi="宋体" w:cs="宋体"/>
                        <w:sz w:val="28"/>
                        <w:szCs w:val="28"/>
                      </w:rPr>
                      <w:fldChar w:fldCharType="begin"/>
                    </w:r>
                    <w:r>
                      <w:rPr>
                        <w:rFonts w:hint="eastAsia" w:hAnsi="宋体" w:cs="宋体"/>
                        <w:sz w:val="28"/>
                        <w:szCs w:val="28"/>
                      </w:rPr>
                      <w:instrText xml:space="preserve"> PAGE  \* MERGEFORMAT </w:instrText>
                    </w:r>
                    <w:r>
                      <w:rPr>
                        <w:rFonts w:hint="eastAsia" w:hAnsi="宋体" w:cs="宋体"/>
                        <w:sz w:val="28"/>
                        <w:szCs w:val="28"/>
                      </w:rPr>
                      <w:fldChar w:fldCharType="separate"/>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244"/>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2I3OWY2NjVhNzEyYjhjODFjNmY5ZWM3OWFiNDYifQ=="/>
  </w:docVars>
  <w:rsids>
    <w:rsidRoot w:val="2BAF63A0"/>
    <w:rsid w:val="003E5F76"/>
    <w:rsid w:val="004C2868"/>
    <w:rsid w:val="004C783B"/>
    <w:rsid w:val="004E5E06"/>
    <w:rsid w:val="00563E28"/>
    <w:rsid w:val="006C2FDE"/>
    <w:rsid w:val="00B3395D"/>
    <w:rsid w:val="00BA4EBD"/>
    <w:rsid w:val="00BA7CA7"/>
    <w:rsid w:val="00BE1545"/>
    <w:rsid w:val="00C528D4"/>
    <w:rsid w:val="00D13F01"/>
    <w:rsid w:val="00D9637F"/>
    <w:rsid w:val="00DA1880"/>
    <w:rsid w:val="00EA40E8"/>
    <w:rsid w:val="00F163BF"/>
    <w:rsid w:val="00F43A7D"/>
    <w:rsid w:val="014F219D"/>
    <w:rsid w:val="019D115B"/>
    <w:rsid w:val="024912E2"/>
    <w:rsid w:val="028C11CF"/>
    <w:rsid w:val="028E4F2F"/>
    <w:rsid w:val="0295277A"/>
    <w:rsid w:val="02FD03A0"/>
    <w:rsid w:val="032064E7"/>
    <w:rsid w:val="034321D6"/>
    <w:rsid w:val="03870314"/>
    <w:rsid w:val="03C76963"/>
    <w:rsid w:val="03CE7CF1"/>
    <w:rsid w:val="03DD1CE2"/>
    <w:rsid w:val="03E5328D"/>
    <w:rsid w:val="03EE2141"/>
    <w:rsid w:val="03F359AA"/>
    <w:rsid w:val="04253689"/>
    <w:rsid w:val="044A30F0"/>
    <w:rsid w:val="04714B20"/>
    <w:rsid w:val="047F723D"/>
    <w:rsid w:val="049031F8"/>
    <w:rsid w:val="04A9250C"/>
    <w:rsid w:val="04B2316F"/>
    <w:rsid w:val="04C133B2"/>
    <w:rsid w:val="0559183C"/>
    <w:rsid w:val="05706B86"/>
    <w:rsid w:val="057228FE"/>
    <w:rsid w:val="057523EE"/>
    <w:rsid w:val="05972365"/>
    <w:rsid w:val="05F72E03"/>
    <w:rsid w:val="064918B1"/>
    <w:rsid w:val="06A21E31"/>
    <w:rsid w:val="06C74ECC"/>
    <w:rsid w:val="06EB6E0C"/>
    <w:rsid w:val="06EE2458"/>
    <w:rsid w:val="06FBBBDF"/>
    <w:rsid w:val="07047ECE"/>
    <w:rsid w:val="0708176C"/>
    <w:rsid w:val="07133C6D"/>
    <w:rsid w:val="07577FFE"/>
    <w:rsid w:val="076B6C7C"/>
    <w:rsid w:val="0774295E"/>
    <w:rsid w:val="07CB4548"/>
    <w:rsid w:val="07F81CA6"/>
    <w:rsid w:val="08471E20"/>
    <w:rsid w:val="085D1644"/>
    <w:rsid w:val="085D7896"/>
    <w:rsid w:val="087B7D1C"/>
    <w:rsid w:val="08940DDD"/>
    <w:rsid w:val="08955281"/>
    <w:rsid w:val="08C01BD2"/>
    <w:rsid w:val="090E0B90"/>
    <w:rsid w:val="09173EE8"/>
    <w:rsid w:val="0958005D"/>
    <w:rsid w:val="09E10052"/>
    <w:rsid w:val="09E3201C"/>
    <w:rsid w:val="0A3D172D"/>
    <w:rsid w:val="0A6703B9"/>
    <w:rsid w:val="0AAD0691"/>
    <w:rsid w:val="0AEF7130"/>
    <w:rsid w:val="0B1F0E32"/>
    <w:rsid w:val="0B323B15"/>
    <w:rsid w:val="0B4B7E79"/>
    <w:rsid w:val="0B5F3925"/>
    <w:rsid w:val="0B754EF6"/>
    <w:rsid w:val="0B892750"/>
    <w:rsid w:val="0B903ADE"/>
    <w:rsid w:val="0BCF2858"/>
    <w:rsid w:val="0C1B5A9E"/>
    <w:rsid w:val="0C2506CA"/>
    <w:rsid w:val="0C654F6B"/>
    <w:rsid w:val="0C6805B7"/>
    <w:rsid w:val="0C790A16"/>
    <w:rsid w:val="0C7B653C"/>
    <w:rsid w:val="0C937688"/>
    <w:rsid w:val="0CC003F3"/>
    <w:rsid w:val="0D3B28E5"/>
    <w:rsid w:val="0D3D7C96"/>
    <w:rsid w:val="0D3F94AF"/>
    <w:rsid w:val="0D692839"/>
    <w:rsid w:val="0D8458C4"/>
    <w:rsid w:val="0DDA3736"/>
    <w:rsid w:val="0DF4226C"/>
    <w:rsid w:val="0E0E518E"/>
    <w:rsid w:val="0E122ED0"/>
    <w:rsid w:val="0E3015A8"/>
    <w:rsid w:val="0E59465B"/>
    <w:rsid w:val="0E7FB7AA"/>
    <w:rsid w:val="0E8F2773"/>
    <w:rsid w:val="0EF16F8A"/>
    <w:rsid w:val="0F1B4006"/>
    <w:rsid w:val="0F20161D"/>
    <w:rsid w:val="0F683AC1"/>
    <w:rsid w:val="0F696685"/>
    <w:rsid w:val="0F9A4F2B"/>
    <w:rsid w:val="0FA4224E"/>
    <w:rsid w:val="0FE8038D"/>
    <w:rsid w:val="102F7D69"/>
    <w:rsid w:val="10433815"/>
    <w:rsid w:val="10516613"/>
    <w:rsid w:val="106D0892"/>
    <w:rsid w:val="10E50428"/>
    <w:rsid w:val="11036AF9"/>
    <w:rsid w:val="113413B0"/>
    <w:rsid w:val="114E06C3"/>
    <w:rsid w:val="116C28F7"/>
    <w:rsid w:val="1191235E"/>
    <w:rsid w:val="11B17BB6"/>
    <w:rsid w:val="11B30526"/>
    <w:rsid w:val="11F052D6"/>
    <w:rsid w:val="120B2110"/>
    <w:rsid w:val="12394ECF"/>
    <w:rsid w:val="126161D4"/>
    <w:rsid w:val="1272218F"/>
    <w:rsid w:val="12791770"/>
    <w:rsid w:val="12900868"/>
    <w:rsid w:val="129B7938"/>
    <w:rsid w:val="12E60579"/>
    <w:rsid w:val="12E666D9"/>
    <w:rsid w:val="13345697"/>
    <w:rsid w:val="136C3083"/>
    <w:rsid w:val="1376180B"/>
    <w:rsid w:val="139939F3"/>
    <w:rsid w:val="13C7475D"/>
    <w:rsid w:val="13E40E6B"/>
    <w:rsid w:val="13E744C7"/>
    <w:rsid w:val="141C6857"/>
    <w:rsid w:val="143200FB"/>
    <w:rsid w:val="144638D4"/>
    <w:rsid w:val="150712B5"/>
    <w:rsid w:val="150A2B53"/>
    <w:rsid w:val="151412DC"/>
    <w:rsid w:val="153951E6"/>
    <w:rsid w:val="15432254"/>
    <w:rsid w:val="15595889"/>
    <w:rsid w:val="1565422D"/>
    <w:rsid w:val="15897F1C"/>
    <w:rsid w:val="15AAFEF0"/>
    <w:rsid w:val="15D57E51"/>
    <w:rsid w:val="162E0AC3"/>
    <w:rsid w:val="169A1ACA"/>
    <w:rsid w:val="169D3553"/>
    <w:rsid w:val="16B54D41"/>
    <w:rsid w:val="16C64858"/>
    <w:rsid w:val="16CD208A"/>
    <w:rsid w:val="16F70EB5"/>
    <w:rsid w:val="17033CFE"/>
    <w:rsid w:val="17326215"/>
    <w:rsid w:val="17667DE9"/>
    <w:rsid w:val="17800EAB"/>
    <w:rsid w:val="17832749"/>
    <w:rsid w:val="17D47448"/>
    <w:rsid w:val="18273A1C"/>
    <w:rsid w:val="18716A45"/>
    <w:rsid w:val="18B708FC"/>
    <w:rsid w:val="18E611E1"/>
    <w:rsid w:val="18EB2C9C"/>
    <w:rsid w:val="18EB6B88"/>
    <w:rsid w:val="196547FC"/>
    <w:rsid w:val="19866520"/>
    <w:rsid w:val="19A846E9"/>
    <w:rsid w:val="19C71013"/>
    <w:rsid w:val="19CC487B"/>
    <w:rsid w:val="19EFCFAF"/>
    <w:rsid w:val="1A160062"/>
    <w:rsid w:val="1A3B1EE4"/>
    <w:rsid w:val="1A450189"/>
    <w:rsid w:val="1A725422"/>
    <w:rsid w:val="1ABA46D4"/>
    <w:rsid w:val="1ACE017F"/>
    <w:rsid w:val="1AD03EF7"/>
    <w:rsid w:val="1AF220BF"/>
    <w:rsid w:val="1B0818E3"/>
    <w:rsid w:val="1B091A3A"/>
    <w:rsid w:val="1B2B55D1"/>
    <w:rsid w:val="1B3A5814"/>
    <w:rsid w:val="1B3D1758"/>
    <w:rsid w:val="1B3E3557"/>
    <w:rsid w:val="1B5D75B3"/>
    <w:rsid w:val="1BBE1FA1"/>
    <w:rsid w:val="1BE85270"/>
    <w:rsid w:val="1BFD05F2"/>
    <w:rsid w:val="1C5841A4"/>
    <w:rsid w:val="1C597F1C"/>
    <w:rsid w:val="1C986C96"/>
    <w:rsid w:val="1CF77E61"/>
    <w:rsid w:val="1D13631D"/>
    <w:rsid w:val="1D1C1676"/>
    <w:rsid w:val="1D24052A"/>
    <w:rsid w:val="1D540C01"/>
    <w:rsid w:val="1D725739"/>
    <w:rsid w:val="1DC35F95"/>
    <w:rsid w:val="1DCF493A"/>
    <w:rsid w:val="1DF779ED"/>
    <w:rsid w:val="1E291069"/>
    <w:rsid w:val="1E566E09"/>
    <w:rsid w:val="1E9F255E"/>
    <w:rsid w:val="1EA23DFC"/>
    <w:rsid w:val="1EBFDE34"/>
    <w:rsid w:val="1F282554"/>
    <w:rsid w:val="1F486752"/>
    <w:rsid w:val="1F59095F"/>
    <w:rsid w:val="1F69491A"/>
    <w:rsid w:val="1F8D0609"/>
    <w:rsid w:val="1FBC0EEE"/>
    <w:rsid w:val="1FCFE6E9"/>
    <w:rsid w:val="1FEE790D"/>
    <w:rsid w:val="1FFBA89F"/>
    <w:rsid w:val="2031368A"/>
    <w:rsid w:val="20370574"/>
    <w:rsid w:val="204D7D98"/>
    <w:rsid w:val="206122BB"/>
    <w:rsid w:val="208C6B12"/>
    <w:rsid w:val="209E23A2"/>
    <w:rsid w:val="20EC0663"/>
    <w:rsid w:val="20EE157B"/>
    <w:rsid w:val="20FD356C"/>
    <w:rsid w:val="21025026"/>
    <w:rsid w:val="21115269"/>
    <w:rsid w:val="213A031C"/>
    <w:rsid w:val="21613AFB"/>
    <w:rsid w:val="219F4623"/>
    <w:rsid w:val="21A165ED"/>
    <w:rsid w:val="21AE4866"/>
    <w:rsid w:val="21D95D87"/>
    <w:rsid w:val="21F42BC1"/>
    <w:rsid w:val="22162B37"/>
    <w:rsid w:val="222F1E4B"/>
    <w:rsid w:val="2230171F"/>
    <w:rsid w:val="22370D00"/>
    <w:rsid w:val="22603DB2"/>
    <w:rsid w:val="227E692E"/>
    <w:rsid w:val="22CB26FC"/>
    <w:rsid w:val="22F95EED"/>
    <w:rsid w:val="22FF7A6F"/>
    <w:rsid w:val="235F406A"/>
    <w:rsid w:val="23AB65F9"/>
    <w:rsid w:val="23D36806"/>
    <w:rsid w:val="244A4D1A"/>
    <w:rsid w:val="24621831"/>
    <w:rsid w:val="248875F1"/>
    <w:rsid w:val="249917FE"/>
    <w:rsid w:val="24A563F4"/>
    <w:rsid w:val="24F1068C"/>
    <w:rsid w:val="251828AB"/>
    <w:rsid w:val="252C4420"/>
    <w:rsid w:val="25956469"/>
    <w:rsid w:val="25B5736A"/>
    <w:rsid w:val="25F27417"/>
    <w:rsid w:val="25F34F3E"/>
    <w:rsid w:val="2624159B"/>
    <w:rsid w:val="262B2929"/>
    <w:rsid w:val="26BE19EF"/>
    <w:rsid w:val="26C30DB4"/>
    <w:rsid w:val="26DB434F"/>
    <w:rsid w:val="27090EBD"/>
    <w:rsid w:val="27181100"/>
    <w:rsid w:val="272730F1"/>
    <w:rsid w:val="27651E6B"/>
    <w:rsid w:val="27A504B9"/>
    <w:rsid w:val="27FF9A73"/>
    <w:rsid w:val="28235FAE"/>
    <w:rsid w:val="28490E43"/>
    <w:rsid w:val="284E0B51"/>
    <w:rsid w:val="287064F9"/>
    <w:rsid w:val="288B2D81"/>
    <w:rsid w:val="28A6273B"/>
    <w:rsid w:val="28D11E82"/>
    <w:rsid w:val="28F33BD2"/>
    <w:rsid w:val="292A5367"/>
    <w:rsid w:val="29C4731D"/>
    <w:rsid w:val="29EE79BF"/>
    <w:rsid w:val="29F01EC0"/>
    <w:rsid w:val="2A0D233F"/>
    <w:rsid w:val="2A103412"/>
    <w:rsid w:val="2A1262DA"/>
    <w:rsid w:val="2A522B7B"/>
    <w:rsid w:val="2A5A558B"/>
    <w:rsid w:val="2AB63109"/>
    <w:rsid w:val="2B383241"/>
    <w:rsid w:val="2B7E97CE"/>
    <w:rsid w:val="2BAF63A0"/>
    <w:rsid w:val="2BB331A5"/>
    <w:rsid w:val="2BBD2276"/>
    <w:rsid w:val="2BBF6F36"/>
    <w:rsid w:val="2BD66B3D"/>
    <w:rsid w:val="2BE47802"/>
    <w:rsid w:val="2C02237E"/>
    <w:rsid w:val="2C155C0E"/>
    <w:rsid w:val="2CA174A1"/>
    <w:rsid w:val="2CCE400E"/>
    <w:rsid w:val="2CD45AC9"/>
    <w:rsid w:val="2CE35D0C"/>
    <w:rsid w:val="2D0A773C"/>
    <w:rsid w:val="2D0C5DC5"/>
    <w:rsid w:val="2D0D4B37"/>
    <w:rsid w:val="2D5F4AD1"/>
    <w:rsid w:val="2D7050C6"/>
    <w:rsid w:val="2D7E904C"/>
    <w:rsid w:val="2D855015"/>
    <w:rsid w:val="2DBD030B"/>
    <w:rsid w:val="2DD60080"/>
    <w:rsid w:val="2DE53D06"/>
    <w:rsid w:val="2DEFBCD6"/>
    <w:rsid w:val="2E1B14D5"/>
    <w:rsid w:val="2EEE2746"/>
    <w:rsid w:val="2F097580"/>
    <w:rsid w:val="2F120B2A"/>
    <w:rsid w:val="2F1F5677"/>
    <w:rsid w:val="2F6A2714"/>
    <w:rsid w:val="2FEBA7E9"/>
    <w:rsid w:val="300E12F2"/>
    <w:rsid w:val="30183F1E"/>
    <w:rsid w:val="30442F65"/>
    <w:rsid w:val="304A7E50"/>
    <w:rsid w:val="30556F21"/>
    <w:rsid w:val="3062519A"/>
    <w:rsid w:val="30696A0A"/>
    <w:rsid w:val="307F3F9D"/>
    <w:rsid w:val="308523C0"/>
    <w:rsid w:val="30AA3DBF"/>
    <w:rsid w:val="30C6397A"/>
    <w:rsid w:val="31264419"/>
    <w:rsid w:val="31346AA9"/>
    <w:rsid w:val="313C3C3D"/>
    <w:rsid w:val="314174A5"/>
    <w:rsid w:val="315216B2"/>
    <w:rsid w:val="31653193"/>
    <w:rsid w:val="31771119"/>
    <w:rsid w:val="31D42334"/>
    <w:rsid w:val="31F76DA3"/>
    <w:rsid w:val="324803BF"/>
    <w:rsid w:val="32805DAB"/>
    <w:rsid w:val="32BAB8B0"/>
    <w:rsid w:val="32C0264B"/>
    <w:rsid w:val="32FB3683"/>
    <w:rsid w:val="33136C1F"/>
    <w:rsid w:val="331A61FF"/>
    <w:rsid w:val="33294694"/>
    <w:rsid w:val="334E5EA9"/>
    <w:rsid w:val="334F4E0C"/>
    <w:rsid w:val="339A0D1C"/>
    <w:rsid w:val="33BC1065"/>
    <w:rsid w:val="33DEF19F"/>
    <w:rsid w:val="34594B05"/>
    <w:rsid w:val="34784F8C"/>
    <w:rsid w:val="347B4A7C"/>
    <w:rsid w:val="3498034E"/>
    <w:rsid w:val="34A279AF"/>
    <w:rsid w:val="34D32B0A"/>
    <w:rsid w:val="34F62354"/>
    <w:rsid w:val="354457B6"/>
    <w:rsid w:val="356279EA"/>
    <w:rsid w:val="35683252"/>
    <w:rsid w:val="35725E7F"/>
    <w:rsid w:val="35AA386B"/>
    <w:rsid w:val="35AB2634"/>
    <w:rsid w:val="35D73F34"/>
    <w:rsid w:val="35E414CE"/>
    <w:rsid w:val="35F76384"/>
    <w:rsid w:val="36070CBD"/>
    <w:rsid w:val="36435A6D"/>
    <w:rsid w:val="367D2459"/>
    <w:rsid w:val="367F4CF7"/>
    <w:rsid w:val="36E20DE2"/>
    <w:rsid w:val="36E763F9"/>
    <w:rsid w:val="36E7FFFA"/>
    <w:rsid w:val="36F154C9"/>
    <w:rsid w:val="376932B2"/>
    <w:rsid w:val="377E1E3F"/>
    <w:rsid w:val="37CB7AC8"/>
    <w:rsid w:val="37DE9496"/>
    <w:rsid w:val="383B2EA0"/>
    <w:rsid w:val="383E473E"/>
    <w:rsid w:val="384C6E5B"/>
    <w:rsid w:val="386D0B7F"/>
    <w:rsid w:val="388A34DF"/>
    <w:rsid w:val="388A7983"/>
    <w:rsid w:val="38CA7D80"/>
    <w:rsid w:val="391B4A7F"/>
    <w:rsid w:val="392576AC"/>
    <w:rsid w:val="396401D4"/>
    <w:rsid w:val="398D1CCB"/>
    <w:rsid w:val="399C796E"/>
    <w:rsid w:val="39FE4185"/>
    <w:rsid w:val="39FF8578"/>
    <w:rsid w:val="3A0A61D2"/>
    <w:rsid w:val="3A1B4B09"/>
    <w:rsid w:val="3A1C460B"/>
    <w:rsid w:val="3A281202"/>
    <w:rsid w:val="3A3A0F35"/>
    <w:rsid w:val="3A4A1178"/>
    <w:rsid w:val="3A5169AB"/>
    <w:rsid w:val="3A6B7341"/>
    <w:rsid w:val="3A7DF5EC"/>
    <w:rsid w:val="3A96260F"/>
    <w:rsid w:val="3AA54601"/>
    <w:rsid w:val="3AD85478"/>
    <w:rsid w:val="3B051543"/>
    <w:rsid w:val="3B1B288B"/>
    <w:rsid w:val="3B5EDD56"/>
    <w:rsid w:val="3B6B41BC"/>
    <w:rsid w:val="3B936B4F"/>
    <w:rsid w:val="3BB30F9F"/>
    <w:rsid w:val="3BDC6748"/>
    <w:rsid w:val="3BE15B0C"/>
    <w:rsid w:val="3BE473AB"/>
    <w:rsid w:val="3C0B4937"/>
    <w:rsid w:val="3C215F09"/>
    <w:rsid w:val="3C5067EE"/>
    <w:rsid w:val="3C9E39FD"/>
    <w:rsid w:val="3CB73CCF"/>
    <w:rsid w:val="3D314871"/>
    <w:rsid w:val="3D5B18EE"/>
    <w:rsid w:val="3D5EFD4E"/>
    <w:rsid w:val="3D622C7D"/>
    <w:rsid w:val="3D6C59AE"/>
    <w:rsid w:val="3D785FFC"/>
    <w:rsid w:val="3D7A6218"/>
    <w:rsid w:val="3DA77592"/>
    <w:rsid w:val="3DC05F16"/>
    <w:rsid w:val="3DDB184D"/>
    <w:rsid w:val="3DDE30EB"/>
    <w:rsid w:val="3E171CB9"/>
    <w:rsid w:val="3E287A22"/>
    <w:rsid w:val="3E2E7003"/>
    <w:rsid w:val="3E55633E"/>
    <w:rsid w:val="3E5E8397"/>
    <w:rsid w:val="3E6D498B"/>
    <w:rsid w:val="3E7569E0"/>
    <w:rsid w:val="3E7614BB"/>
    <w:rsid w:val="3EF3618D"/>
    <w:rsid w:val="3F0B01E7"/>
    <w:rsid w:val="3F147FA7"/>
    <w:rsid w:val="3F3348D1"/>
    <w:rsid w:val="3F43267D"/>
    <w:rsid w:val="3F454604"/>
    <w:rsid w:val="3F574890"/>
    <w:rsid w:val="3F5F5F79"/>
    <w:rsid w:val="3F7736E3"/>
    <w:rsid w:val="3F786788"/>
    <w:rsid w:val="3F7D5B4C"/>
    <w:rsid w:val="3F7EA3B5"/>
    <w:rsid w:val="3F9A990B"/>
    <w:rsid w:val="3FA56E51"/>
    <w:rsid w:val="3FAA26B9"/>
    <w:rsid w:val="3FBE18CD"/>
    <w:rsid w:val="3FC1ABEF"/>
    <w:rsid w:val="3FDB52F3"/>
    <w:rsid w:val="3FDE3692"/>
    <w:rsid w:val="3FDFC0AE"/>
    <w:rsid w:val="3FE060DB"/>
    <w:rsid w:val="3FF51B86"/>
    <w:rsid w:val="3FF81676"/>
    <w:rsid w:val="3FFD78D4"/>
    <w:rsid w:val="3FFFA16E"/>
    <w:rsid w:val="40322DDA"/>
    <w:rsid w:val="4061546E"/>
    <w:rsid w:val="409E3FCC"/>
    <w:rsid w:val="40CD00DD"/>
    <w:rsid w:val="40F956A6"/>
    <w:rsid w:val="41004C87"/>
    <w:rsid w:val="41067DC3"/>
    <w:rsid w:val="410F480F"/>
    <w:rsid w:val="416C231C"/>
    <w:rsid w:val="41D43A1D"/>
    <w:rsid w:val="42733236"/>
    <w:rsid w:val="42A45AE6"/>
    <w:rsid w:val="42DF5840"/>
    <w:rsid w:val="42E2746A"/>
    <w:rsid w:val="433230F1"/>
    <w:rsid w:val="435C1F1C"/>
    <w:rsid w:val="43635059"/>
    <w:rsid w:val="43686B13"/>
    <w:rsid w:val="43770B04"/>
    <w:rsid w:val="43947908"/>
    <w:rsid w:val="439F28E2"/>
    <w:rsid w:val="43CA157C"/>
    <w:rsid w:val="43D321DE"/>
    <w:rsid w:val="444255B6"/>
    <w:rsid w:val="445F1CC4"/>
    <w:rsid w:val="44663053"/>
    <w:rsid w:val="447F4114"/>
    <w:rsid w:val="451538BF"/>
    <w:rsid w:val="45343151"/>
    <w:rsid w:val="45521829"/>
    <w:rsid w:val="45633A36"/>
    <w:rsid w:val="45835E86"/>
    <w:rsid w:val="458D1E80"/>
    <w:rsid w:val="45E32481"/>
    <w:rsid w:val="45E789EB"/>
    <w:rsid w:val="45F91CA4"/>
    <w:rsid w:val="45F96148"/>
    <w:rsid w:val="45FA2AFC"/>
    <w:rsid w:val="4605689B"/>
    <w:rsid w:val="46B53E1D"/>
    <w:rsid w:val="46BB51AC"/>
    <w:rsid w:val="46F25071"/>
    <w:rsid w:val="471843AC"/>
    <w:rsid w:val="475950F1"/>
    <w:rsid w:val="477E4B57"/>
    <w:rsid w:val="47915D02"/>
    <w:rsid w:val="487A3570"/>
    <w:rsid w:val="48A44149"/>
    <w:rsid w:val="48BB1493"/>
    <w:rsid w:val="48F60141"/>
    <w:rsid w:val="490B241B"/>
    <w:rsid w:val="492B4936"/>
    <w:rsid w:val="494E0559"/>
    <w:rsid w:val="497D7D41"/>
    <w:rsid w:val="49836455"/>
    <w:rsid w:val="49935F6C"/>
    <w:rsid w:val="49B06B1E"/>
    <w:rsid w:val="49C10D2B"/>
    <w:rsid w:val="49EF7646"/>
    <w:rsid w:val="4A1FD210"/>
    <w:rsid w:val="4A2EC4AC"/>
    <w:rsid w:val="4A4756D4"/>
    <w:rsid w:val="4A590F64"/>
    <w:rsid w:val="4A7645FB"/>
    <w:rsid w:val="4AAE12AF"/>
    <w:rsid w:val="4AC07235"/>
    <w:rsid w:val="4AC40AD3"/>
    <w:rsid w:val="4AFD3FE5"/>
    <w:rsid w:val="4B0610EB"/>
    <w:rsid w:val="4B6127C6"/>
    <w:rsid w:val="4B614574"/>
    <w:rsid w:val="4BA803F5"/>
    <w:rsid w:val="4BDFDDD4"/>
    <w:rsid w:val="4BEF6075"/>
    <w:rsid w:val="4C3954F1"/>
    <w:rsid w:val="4C5E4F57"/>
    <w:rsid w:val="4CAB7136"/>
    <w:rsid w:val="4CB46925"/>
    <w:rsid w:val="4CEA0599"/>
    <w:rsid w:val="4CF3744D"/>
    <w:rsid w:val="4D1A2C2C"/>
    <w:rsid w:val="4D3A32CE"/>
    <w:rsid w:val="4DA33C88"/>
    <w:rsid w:val="4DAE5A6A"/>
    <w:rsid w:val="4DAE7818"/>
    <w:rsid w:val="4DC4528E"/>
    <w:rsid w:val="4DDF3E76"/>
    <w:rsid w:val="4DFC4A28"/>
    <w:rsid w:val="4E0F02B7"/>
    <w:rsid w:val="4E577EB0"/>
    <w:rsid w:val="4E5A4306"/>
    <w:rsid w:val="4E8835CF"/>
    <w:rsid w:val="4EA3372B"/>
    <w:rsid w:val="4EC45545"/>
    <w:rsid w:val="4EFF657E"/>
    <w:rsid w:val="4F837194"/>
    <w:rsid w:val="4FBE733D"/>
    <w:rsid w:val="4FC11A85"/>
    <w:rsid w:val="4FE94B38"/>
    <w:rsid w:val="5015592D"/>
    <w:rsid w:val="503C55AF"/>
    <w:rsid w:val="50C555A5"/>
    <w:rsid w:val="50F419E6"/>
    <w:rsid w:val="51200A2D"/>
    <w:rsid w:val="51340035"/>
    <w:rsid w:val="515D57DD"/>
    <w:rsid w:val="516332A4"/>
    <w:rsid w:val="516B614C"/>
    <w:rsid w:val="517D5E7F"/>
    <w:rsid w:val="51A553DD"/>
    <w:rsid w:val="51D535C6"/>
    <w:rsid w:val="51FC4FF6"/>
    <w:rsid w:val="52075749"/>
    <w:rsid w:val="521045FE"/>
    <w:rsid w:val="521D6B86"/>
    <w:rsid w:val="525F5585"/>
    <w:rsid w:val="52903990"/>
    <w:rsid w:val="529B480F"/>
    <w:rsid w:val="52BE22AC"/>
    <w:rsid w:val="52C8137C"/>
    <w:rsid w:val="52FD1026"/>
    <w:rsid w:val="533403CE"/>
    <w:rsid w:val="535B3F9E"/>
    <w:rsid w:val="539A4AC7"/>
    <w:rsid w:val="53E21FCA"/>
    <w:rsid w:val="53E421E6"/>
    <w:rsid w:val="54176117"/>
    <w:rsid w:val="548337AD"/>
    <w:rsid w:val="54A0435F"/>
    <w:rsid w:val="54AB6860"/>
    <w:rsid w:val="54BC0A6D"/>
    <w:rsid w:val="551C150B"/>
    <w:rsid w:val="55540CA5"/>
    <w:rsid w:val="55747599"/>
    <w:rsid w:val="55821CB6"/>
    <w:rsid w:val="55D02A22"/>
    <w:rsid w:val="55DF4A13"/>
    <w:rsid w:val="55FCBD1B"/>
    <w:rsid w:val="55FE7A36"/>
    <w:rsid w:val="56130B60"/>
    <w:rsid w:val="562B40FC"/>
    <w:rsid w:val="56352885"/>
    <w:rsid w:val="56465705"/>
    <w:rsid w:val="56D46542"/>
    <w:rsid w:val="56E30F1C"/>
    <w:rsid w:val="56E9366F"/>
    <w:rsid w:val="56F7D1BE"/>
    <w:rsid w:val="57093C98"/>
    <w:rsid w:val="575E5E0B"/>
    <w:rsid w:val="5765719A"/>
    <w:rsid w:val="576C2375"/>
    <w:rsid w:val="577BBC4E"/>
    <w:rsid w:val="57805D82"/>
    <w:rsid w:val="57AFFF29"/>
    <w:rsid w:val="57DF0ADD"/>
    <w:rsid w:val="57DF519E"/>
    <w:rsid w:val="57E52089"/>
    <w:rsid w:val="57F6265E"/>
    <w:rsid w:val="57FFE6F8"/>
    <w:rsid w:val="58112E7E"/>
    <w:rsid w:val="58164938"/>
    <w:rsid w:val="583A6878"/>
    <w:rsid w:val="588B70D4"/>
    <w:rsid w:val="58A9755A"/>
    <w:rsid w:val="58ED7447"/>
    <w:rsid w:val="590976B4"/>
    <w:rsid w:val="5915699E"/>
    <w:rsid w:val="597DA031"/>
    <w:rsid w:val="59934492"/>
    <w:rsid w:val="59995821"/>
    <w:rsid w:val="59AC10B0"/>
    <w:rsid w:val="59F12F67"/>
    <w:rsid w:val="59F42A57"/>
    <w:rsid w:val="59FF559C"/>
    <w:rsid w:val="5A2C21F1"/>
    <w:rsid w:val="5A416F2D"/>
    <w:rsid w:val="5A456B8A"/>
    <w:rsid w:val="5A6000EC"/>
    <w:rsid w:val="5AA47FD9"/>
    <w:rsid w:val="5AC661A1"/>
    <w:rsid w:val="5AFFCA30"/>
    <w:rsid w:val="5B1E422F"/>
    <w:rsid w:val="5B3FE61A"/>
    <w:rsid w:val="5B6FBA1D"/>
    <w:rsid w:val="5B726329"/>
    <w:rsid w:val="5B860DDB"/>
    <w:rsid w:val="5B9BA8D2"/>
    <w:rsid w:val="5BA2698F"/>
    <w:rsid w:val="5BDFE5B9"/>
    <w:rsid w:val="5C07081F"/>
    <w:rsid w:val="5C7E83D9"/>
    <w:rsid w:val="5C9522CF"/>
    <w:rsid w:val="5C9B193B"/>
    <w:rsid w:val="5D0134C1"/>
    <w:rsid w:val="5D543F38"/>
    <w:rsid w:val="5D5C4B9B"/>
    <w:rsid w:val="5D616655"/>
    <w:rsid w:val="5D720862"/>
    <w:rsid w:val="5DA12EF6"/>
    <w:rsid w:val="5DEF0C47"/>
    <w:rsid w:val="5DEF1EB3"/>
    <w:rsid w:val="5DF38D76"/>
    <w:rsid w:val="5DFE70FF"/>
    <w:rsid w:val="5E227B93"/>
    <w:rsid w:val="5E4F2952"/>
    <w:rsid w:val="5E6EB847"/>
    <w:rsid w:val="5E7F6EC2"/>
    <w:rsid w:val="5ED03A93"/>
    <w:rsid w:val="5ED6097D"/>
    <w:rsid w:val="5EDD1D0C"/>
    <w:rsid w:val="5EFA38EA"/>
    <w:rsid w:val="5EFC6636"/>
    <w:rsid w:val="5F04373C"/>
    <w:rsid w:val="5F322057"/>
    <w:rsid w:val="5F5908B3"/>
    <w:rsid w:val="5F5E6BD8"/>
    <w:rsid w:val="5F5F0D41"/>
    <w:rsid w:val="5F661D01"/>
    <w:rsid w:val="5F67E930"/>
    <w:rsid w:val="5F73441E"/>
    <w:rsid w:val="5F7BC1B7"/>
    <w:rsid w:val="5F7DCB94"/>
    <w:rsid w:val="5F993E84"/>
    <w:rsid w:val="5FBF84DB"/>
    <w:rsid w:val="5FC353A5"/>
    <w:rsid w:val="5FD69C65"/>
    <w:rsid w:val="5FF37090"/>
    <w:rsid w:val="5FFF5DD3"/>
    <w:rsid w:val="5FFFFA14"/>
    <w:rsid w:val="601E082E"/>
    <w:rsid w:val="605B55DE"/>
    <w:rsid w:val="605C4EB2"/>
    <w:rsid w:val="6074044E"/>
    <w:rsid w:val="60FB291D"/>
    <w:rsid w:val="615C785F"/>
    <w:rsid w:val="616D55C9"/>
    <w:rsid w:val="61A84853"/>
    <w:rsid w:val="61BC02FE"/>
    <w:rsid w:val="61C3343B"/>
    <w:rsid w:val="61C947C9"/>
    <w:rsid w:val="62206ADF"/>
    <w:rsid w:val="622B7232"/>
    <w:rsid w:val="624D0F56"/>
    <w:rsid w:val="625B18C5"/>
    <w:rsid w:val="6291178B"/>
    <w:rsid w:val="634E7E00"/>
    <w:rsid w:val="63584057"/>
    <w:rsid w:val="639257BA"/>
    <w:rsid w:val="63D062E3"/>
    <w:rsid w:val="65085608"/>
    <w:rsid w:val="651A5A67"/>
    <w:rsid w:val="653463FD"/>
    <w:rsid w:val="65493C57"/>
    <w:rsid w:val="6554084E"/>
    <w:rsid w:val="65817895"/>
    <w:rsid w:val="65AC068A"/>
    <w:rsid w:val="65C6799D"/>
    <w:rsid w:val="65CB6D62"/>
    <w:rsid w:val="66013F5D"/>
    <w:rsid w:val="66216982"/>
    <w:rsid w:val="662D6351"/>
    <w:rsid w:val="6635242D"/>
    <w:rsid w:val="66861E07"/>
    <w:rsid w:val="66B912B0"/>
    <w:rsid w:val="66EE635E"/>
    <w:rsid w:val="67143C4B"/>
    <w:rsid w:val="674548F2"/>
    <w:rsid w:val="676EF6FF"/>
    <w:rsid w:val="67705E13"/>
    <w:rsid w:val="6796514D"/>
    <w:rsid w:val="67AB8944"/>
    <w:rsid w:val="67B35CFF"/>
    <w:rsid w:val="67E42611"/>
    <w:rsid w:val="68817BAC"/>
    <w:rsid w:val="689A407A"/>
    <w:rsid w:val="68A33FC6"/>
    <w:rsid w:val="68D128E1"/>
    <w:rsid w:val="69313380"/>
    <w:rsid w:val="693D1D24"/>
    <w:rsid w:val="695F613F"/>
    <w:rsid w:val="69C75A92"/>
    <w:rsid w:val="69E44896"/>
    <w:rsid w:val="6A8D2838"/>
    <w:rsid w:val="6A9260A0"/>
    <w:rsid w:val="6AB97AD1"/>
    <w:rsid w:val="6AC1FDA6"/>
    <w:rsid w:val="6B43739A"/>
    <w:rsid w:val="6B5E7A19"/>
    <w:rsid w:val="6B6932A5"/>
    <w:rsid w:val="6B6C68F1"/>
    <w:rsid w:val="6BA0659B"/>
    <w:rsid w:val="6BBD539F"/>
    <w:rsid w:val="6BF32B6E"/>
    <w:rsid w:val="6BFB2B86"/>
    <w:rsid w:val="6C28293C"/>
    <w:rsid w:val="6C627CF4"/>
    <w:rsid w:val="6C975BF0"/>
    <w:rsid w:val="6C9D6F95"/>
    <w:rsid w:val="6CAE3D2F"/>
    <w:rsid w:val="6D2531FB"/>
    <w:rsid w:val="6D2F5E28"/>
    <w:rsid w:val="6D61605E"/>
    <w:rsid w:val="6D631F76"/>
    <w:rsid w:val="6D7B2E1B"/>
    <w:rsid w:val="6D7B72BF"/>
    <w:rsid w:val="6DCE11F4"/>
    <w:rsid w:val="6DDDBB47"/>
    <w:rsid w:val="6DE36C13"/>
    <w:rsid w:val="6DFB53F4"/>
    <w:rsid w:val="6DFE57FA"/>
    <w:rsid w:val="6E0077C5"/>
    <w:rsid w:val="6E1119D2"/>
    <w:rsid w:val="6E14501E"/>
    <w:rsid w:val="6EA97E5C"/>
    <w:rsid w:val="6EB164A5"/>
    <w:rsid w:val="6EB62C72"/>
    <w:rsid w:val="6EBE3907"/>
    <w:rsid w:val="6EDE74DF"/>
    <w:rsid w:val="6EDFB6AA"/>
    <w:rsid w:val="6EF3D0E2"/>
    <w:rsid w:val="6EF8E9F5"/>
    <w:rsid w:val="6EFB9F9D"/>
    <w:rsid w:val="6F1057E5"/>
    <w:rsid w:val="6F1C418A"/>
    <w:rsid w:val="6F1E1F6A"/>
    <w:rsid w:val="6F775864"/>
    <w:rsid w:val="6F7F2C2F"/>
    <w:rsid w:val="6F8561D3"/>
    <w:rsid w:val="6FB73388"/>
    <w:rsid w:val="6FBFA424"/>
    <w:rsid w:val="6FC767EC"/>
    <w:rsid w:val="6FCD0C7D"/>
    <w:rsid w:val="6FD4303A"/>
    <w:rsid w:val="6FEE13E4"/>
    <w:rsid w:val="6FF1D4F0"/>
    <w:rsid w:val="6FFCDBBC"/>
    <w:rsid w:val="6FFE8312"/>
    <w:rsid w:val="6FFED057"/>
    <w:rsid w:val="701337DF"/>
    <w:rsid w:val="701B14AA"/>
    <w:rsid w:val="703F2826"/>
    <w:rsid w:val="705B0CE2"/>
    <w:rsid w:val="70B054D2"/>
    <w:rsid w:val="70C40F7D"/>
    <w:rsid w:val="70C745CA"/>
    <w:rsid w:val="70D867D7"/>
    <w:rsid w:val="713C4FB8"/>
    <w:rsid w:val="716F17A8"/>
    <w:rsid w:val="71AF5789"/>
    <w:rsid w:val="71CB1E97"/>
    <w:rsid w:val="71D13952"/>
    <w:rsid w:val="71DF33CB"/>
    <w:rsid w:val="71E01DE7"/>
    <w:rsid w:val="723D4B43"/>
    <w:rsid w:val="724E4FA2"/>
    <w:rsid w:val="727BC98C"/>
    <w:rsid w:val="727EB128"/>
    <w:rsid w:val="728B1D53"/>
    <w:rsid w:val="72AFAA14"/>
    <w:rsid w:val="72BF6681"/>
    <w:rsid w:val="72DA05E4"/>
    <w:rsid w:val="72DCADC4"/>
    <w:rsid w:val="72FF004B"/>
    <w:rsid w:val="730E64E0"/>
    <w:rsid w:val="73287577"/>
    <w:rsid w:val="733F410F"/>
    <w:rsid w:val="737A5923"/>
    <w:rsid w:val="73920EBF"/>
    <w:rsid w:val="739E7864"/>
    <w:rsid w:val="73C51294"/>
    <w:rsid w:val="73C7B6D6"/>
    <w:rsid w:val="73CA0659"/>
    <w:rsid w:val="73E86D31"/>
    <w:rsid w:val="7400407A"/>
    <w:rsid w:val="747B5DF7"/>
    <w:rsid w:val="749F7D37"/>
    <w:rsid w:val="74A10315"/>
    <w:rsid w:val="74A76BEC"/>
    <w:rsid w:val="74BA06CD"/>
    <w:rsid w:val="74F615D2"/>
    <w:rsid w:val="75322959"/>
    <w:rsid w:val="755A6245"/>
    <w:rsid w:val="756B5BBA"/>
    <w:rsid w:val="7577E4DB"/>
    <w:rsid w:val="75B710B1"/>
    <w:rsid w:val="75BBCE89"/>
    <w:rsid w:val="75CB06B8"/>
    <w:rsid w:val="75D73501"/>
    <w:rsid w:val="75DC1E6E"/>
    <w:rsid w:val="75FE2EF8"/>
    <w:rsid w:val="76742AFE"/>
    <w:rsid w:val="76AF7FDA"/>
    <w:rsid w:val="76D468B7"/>
    <w:rsid w:val="76DFC3CC"/>
    <w:rsid w:val="76FE4AFD"/>
    <w:rsid w:val="773D7394"/>
    <w:rsid w:val="7748213F"/>
    <w:rsid w:val="778E6BB0"/>
    <w:rsid w:val="77DF044B"/>
    <w:rsid w:val="77E93077"/>
    <w:rsid w:val="77EC3114"/>
    <w:rsid w:val="77EC6177"/>
    <w:rsid w:val="77F71A01"/>
    <w:rsid w:val="77F9150C"/>
    <w:rsid w:val="77FD5822"/>
    <w:rsid w:val="77FF4375"/>
    <w:rsid w:val="77FFAF78"/>
    <w:rsid w:val="7848CEB4"/>
    <w:rsid w:val="78AE679B"/>
    <w:rsid w:val="78B95140"/>
    <w:rsid w:val="78BC253A"/>
    <w:rsid w:val="78F30652"/>
    <w:rsid w:val="790C526F"/>
    <w:rsid w:val="79440EAD"/>
    <w:rsid w:val="796C3F60"/>
    <w:rsid w:val="79CD47FB"/>
    <w:rsid w:val="79DB3BC8"/>
    <w:rsid w:val="79F60A8E"/>
    <w:rsid w:val="79F77C86"/>
    <w:rsid w:val="7A04063C"/>
    <w:rsid w:val="7A1940E8"/>
    <w:rsid w:val="7AF67F85"/>
    <w:rsid w:val="7B2B24BD"/>
    <w:rsid w:val="7B5FFF23"/>
    <w:rsid w:val="7B7F737D"/>
    <w:rsid w:val="7B7FCCD9"/>
    <w:rsid w:val="7B9A1258"/>
    <w:rsid w:val="7BBB472C"/>
    <w:rsid w:val="7BBC2F7D"/>
    <w:rsid w:val="7BBD22BF"/>
    <w:rsid w:val="7BC97448"/>
    <w:rsid w:val="7BF30A6A"/>
    <w:rsid w:val="7BFBA221"/>
    <w:rsid w:val="7BFE7483"/>
    <w:rsid w:val="7BFF49F8"/>
    <w:rsid w:val="7C176405"/>
    <w:rsid w:val="7C2154D6"/>
    <w:rsid w:val="7C570EF7"/>
    <w:rsid w:val="7CBB76D8"/>
    <w:rsid w:val="7CC7607D"/>
    <w:rsid w:val="7CCD2F68"/>
    <w:rsid w:val="7CCF73E7"/>
    <w:rsid w:val="7CD42548"/>
    <w:rsid w:val="7CF72403"/>
    <w:rsid w:val="7D250FF6"/>
    <w:rsid w:val="7D46434D"/>
    <w:rsid w:val="7D470F6C"/>
    <w:rsid w:val="7D4B0F8E"/>
    <w:rsid w:val="7D621902"/>
    <w:rsid w:val="7D77BE83"/>
    <w:rsid w:val="7D9972CB"/>
    <w:rsid w:val="7D9AB938"/>
    <w:rsid w:val="7DAB25D8"/>
    <w:rsid w:val="7DB77C30"/>
    <w:rsid w:val="7DBFD42A"/>
    <w:rsid w:val="7DC10D1E"/>
    <w:rsid w:val="7DCD73FA"/>
    <w:rsid w:val="7DE80047"/>
    <w:rsid w:val="7DFF3D0D"/>
    <w:rsid w:val="7DFF5DDF"/>
    <w:rsid w:val="7E2B43EA"/>
    <w:rsid w:val="7E7F3A1D"/>
    <w:rsid w:val="7E88183C"/>
    <w:rsid w:val="7EA61CC2"/>
    <w:rsid w:val="7EB73ECF"/>
    <w:rsid w:val="7EB9B4D4"/>
    <w:rsid w:val="7EBF2852"/>
    <w:rsid w:val="7ED607F9"/>
    <w:rsid w:val="7EEFCA5F"/>
    <w:rsid w:val="7EF71837"/>
    <w:rsid w:val="7EFB09D2"/>
    <w:rsid w:val="7EFBB66C"/>
    <w:rsid w:val="7EFF2E28"/>
    <w:rsid w:val="7EFF5CD5"/>
    <w:rsid w:val="7F1E7AAB"/>
    <w:rsid w:val="7F2BFBCF"/>
    <w:rsid w:val="7F346693"/>
    <w:rsid w:val="7F4E65E2"/>
    <w:rsid w:val="7F65A19A"/>
    <w:rsid w:val="7F6D3FBC"/>
    <w:rsid w:val="7F7DB90A"/>
    <w:rsid w:val="7F7E93C9"/>
    <w:rsid w:val="7F7EA10D"/>
    <w:rsid w:val="7F7EB0D6"/>
    <w:rsid w:val="7F9CB93F"/>
    <w:rsid w:val="7F9F3B4D"/>
    <w:rsid w:val="7F9F4DE6"/>
    <w:rsid w:val="7FA6F184"/>
    <w:rsid w:val="7FB5AABB"/>
    <w:rsid w:val="7FBD0BC9"/>
    <w:rsid w:val="7FD05249"/>
    <w:rsid w:val="7FDB1A19"/>
    <w:rsid w:val="7FDFD691"/>
    <w:rsid w:val="7FDFDA37"/>
    <w:rsid w:val="7FEF1B8B"/>
    <w:rsid w:val="7FEF74AB"/>
    <w:rsid w:val="7FEFAE3F"/>
    <w:rsid w:val="7FF7492A"/>
    <w:rsid w:val="7FF92443"/>
    <w:rsid w:val="7FFF7A73"/>
    <w:rsid w:val="7FFF7B7D"/>
    <w:rsid w:val="7FFF991E"/>
    <w:rsid w:val="82CC615E"/>
    <w:rsid w:val="8F5FBA76"/>
    <w:rsid w:val="8FBEF987"/>
    <w:rsid w:val="8FF7E158"/>
    <w:rsid w:val="8FF92B55"/>
    <w:rsid w:val="8FFFC117"/>
    <w:rsid w:val="97E6A12F"/>
    <w:rsid w:val="97EBA4F7"/>
    <w:rsid w:val="9DDD40D4"/>
    <w:rsid w:val="9E6DF867"/>
    <w:rsid w:val="9F158CC8"/>
    <w:rsid w:val="9F7FBDF2"/>
    <w:rsid w:val="9FFF08F0"/>
    <w:rsid w:val="9FFFF85F"/>
    <w:rsid w:val="A65F3268"/>
    <w:rsid w:val="A6F97C29"/>
    <w:rsid w:val="A6FF9F8D"/>
    <w:rsid w:val="A77D437E"/>
    <w:rsid w:val="A7E7DEA0"/>
    <w:rsid w:val="ACAD815F"/>
    <w:rsid w:val="ADCD7D98"/>
    <w:rsid w:val="AEEFCDDE"/>
    <w:rsid w:val="AEF78FE9"/>
    <w:rsid w:val="AFDEA8DE"/>
    <w:rsid w:val="AFFCCC27"/>
    <w:rsid w:val="B5ED97D4"/>
    <w:rsid w:val="B68D9305"/>
    <w:rsid w:val="B6F160D0"/>
    <w:rsid w:val="B70DD5FC"/>
    <w:rsid w:val="B7BF8FD9"/>
    <w:rsid w:val="B7F97937"/>
    <w:rsid w:val="B7FFED70"/>
    <w:rsid w:val="B96F9DED"/>
    <w:rsid w:val="BA61B2D8"/>
    <w:rsid w:val="BA7FCED2"/>
    <w:rsid w:val="BAEB4D5C"/>
    <w:rsid w:val="BB5F6765"/>
    <w:rsid w:val="BBF6D2B2"/>
    <w:rsid w:val="BD6B0CB6"/>
    <w:rsid w:val="BDB3518C"/>
    <w:rsid w:val="BDBB696F"/>
    <w:rsid w:val="BDD31079"/>
    <w:rsid w:val="BE737F02"/>
    <w:rsid w:val="BE7F9058"/>
    <w:rsid w:val="BF3FE193"/>
    <w:rsid w:val="BFB4B8ED"/>
    <w:rsid w:val="BFBF903F"/>
    <w:rsid w:val="BFCF19E3"/>
    <w:rsid w:val="BFF83F26"/>
    <w:rsid w:val="BFFBBA74"/>
    <w:rsid w:val="BFFD0148"/>
    <w:rsid w:val="BFFD8A17"/>
    <w:rsid w:val="BFFE890C"/>
    <w:rsid w:val="BFFF0F74"/>
    <w:rsid w:val="BFFF1195"/>
    <w:rsid w:val="C3FDB925"/>
    <w:rsid w:val="C7EFEFB8"/>
    <w:rsid w:val="CBD6943E"/>
    <w:rsid w:val="CBEECE5A"/>
    <w:rsid w:val="CDBB79AB"/>
    <w:rsid w:val="CDD95D80"/>
    <w:rsid w:val="CE5F3591"/>
    <w:rsid w:val="CEDFC8E8"/>
    <w:rsid w:val="CFDB8844"/>
    <w:rsid w:val="CFDFC603"/>
    <w:rsid w:val="D2FFA320"/>
    <w:rsid w:val="D32BF06E"/>
    <w:rsid w:val="D5F66A4E"/>
    <w:rsid w:val="D5FF546C"/>
    <w:rsid w:val="D6D78759"/>
    <w:rsid w:val="D6FFDC06"/>
    <w:rsid w:val="D7B7676A"/>
    <w:rsid w:val="D97A8EB7"/>
    <w:rsid w:val="D9BFB996"/>
    <w:rsid w:val="DAFB64F7"/>
    <w:rsid w:val="DB3D6909"/>
    <w:rsid w:val="DCFF7E46"/>
    <w:rsid w:val="DDB7CB13"/>
    <w:rsid w:val="DDCF4148"/>
    <w:rsid w:val="DDCF7E90"/>
    <w:rsid w:val="DDEF256F"/>
    <w:rsid w:val="DDFF821F"/>
    <w:rsid w:val="DE9B3490"/>
    <w:rsid w:val="DEDD163E"/>
    <w:rsid w:val="DEDFFEC5"/>
    <w:rsid w:val="DEF47233"/>
    <w:rsid w:val="DEFB06A0"/>
    <w:rsid w:val="DF4F4DD3"/>
    <w:rsid w:val="DFA36424"/>
    <w:rsid w:val="DFB7C31C"/>
    <w:rsid w:val="DFBA0214"/>
    <w:rsid w:val="DFBF00F3"/>
    <w:rsid w:val="DFDE248E"/>
    <w:rsid w:val="DFFA6994"/>
    <w:rsid w:val="E397A0F5"/>
    <w:rsid w:val="E3FEB017"/>
    <w:rsid w:val="E5E7DECF"/>
    <w:rsid w:val="E6F70A0B"/>
    <w:rsid w:val="E7D6EDB7"/>
    <w:rsid w:val="E7F75B6C"/>
    <w:rsid w:val="E9F7C016"/>
    <w:rsid w:val="EADFCFDF"/>
    <w:rsid w:val="EBF16BA7"/>
    <w:rsid w:val="EBF70BD5"/>
    <w:rsid w:val="ED7B155D"/>
    <w:rsid w:val="ED7FED8C"/>
    <w:rsid w:val="ED9D6E83"/>
    <w:rsid w:val="EDE7928B"/>
    <w:rsid w:val="EDEEB52E"/>
    <w:rsid w:val="EE36EC6F"/>
    <w:rsid w:val="EEFFE7FB"/>
    <w:rsid w:val="EF6AD0C3"/>
    <w:rsid w:val="EF7C2A43"/>
    <w:rsid w:val="EFCEEAE7"/>
    <w:rsid w:val="EFD3B9E4"/>
    <w:rsid w:val="EFEF848B"/>
    <w:rsid w:val="EFF70D0A"/>
    <w:rsid w:val="EFFE8236"/>
    <w:rsid w:val="F0CF0F0A"/>
    <w:rsid w:val="F2EF9914"/>
    <w:rsid w:val="F369BC0A"/>
    <w:rsid w:val="F46F9555"/>
    <w:rsid w:val="F5975D52"/>
    <w:rsid w:val="F5F33576"/>
    <w:rsid w:val="F5FF2E30"/>
    <w:rsid w:val="F67F077C"/>
    <w:rsid w:val="F6DFE87D"/>
    <w:rsid w:val="F6F7C1A2"/>
    <w:rsid w:val="F6FA9D55"/>
    <w:rsid w:val="F6FDC27D"/>
    <w:rsid w:val="F6FE5619"/>
    <w:rsid w:val="F6FEAD8C"/>
    <w:rsid w:val="F7B29E44"/>
    <w:rsid w:val="F7B7E2E4"/>
    <w:rsid w:val="F7C776A9"/>
    <w:rsid w:val="F7CBEF99"/>
    <w:rsid w:val="F7DF7E68"/>
    <w:rsid w:val="F7E162D7"/>
    <w:rsid w:val="F7FAD847"/>
    <w:rsid w:val="F7FBAD9E"/>
    <w:rsid w:val="F9B92825"/>
    <w:rsid w:val="F9BE21A8"/>
    <w:rsid w:val="F9BF2904"/>
    <w:rsid w:val="F9FE3293"/>
    <w:rsid w:val="FA373CE6"/>
    <w:rsid w:val="FA3E7AFF"/>
    <w:rsid w:val="FA6FF92C"/>
    <w:rsid w:val="FA729603"/>
    <w:rsid w:val="FA7E2B18"/>
    <w:rsid w:val="FB6D3E79"/>
    <w:rsid w:val="FB9DEDFE"/>
    <w:rsid w:val="FBD659D3"/>
    <w:rsid w:val="FBD959B6"/>
    <w:rsid w:val="FBDD3726"/>
    <w:rsid w:val="FBDE3038"/>
    <w:rsid w:val="FBDE9D87"/>
    <w:rsid w:val="FBEF72CC"/>
    <w:rsid w:val="FBEF9A44"/>
    <w:rsid w:val="FBFF1B9E"/>
    <w:rsid w:val="FC437697"/>
    <w:rsid w:val="FD7F4039"/>
    <w:rsid w:val="FDDF82F1"/>
    <w:rsid w:val="FDEFFCA9"/>
    <w:rsid w:val="FDFB1002"/>
    <w:rsid w:val="FDFF34FD"/>
    <w:rsid w:val="FE736813"/>
    <w:rsid w:val="FE75BC98"/>
    <w:rsid w:val="FE7DA91F"/>
    <w:rsid w:val="FEAF9B6D"/>
    <w:rsid w:val="FEB74159"/>
    <w:rsid w:val="FEB7454C"/>
    <w:rsid w:val="FED12EE3"/>
    <w:rsid w:val="FEDFCD27"/>
    <w:rsid w:val="FEFEC16D"/>
    <w:rsid w:val="FEFF5B93"/>
    <w:rsid w:val="FF32A09E"/>
    <w:rsid w:val="FF46A43B"/>
    <w:rsid w:val="FF571F13"/>
    <w:rsid w:val="FF576A04"/>
    <w:rsid w:val="FF5DFF8D"/>
    <w:rsid w:val="FF5E4D59"/>
    <w:rsid w:val="FF5FB8B0"/>
    <w:rsid w:val="FF798934"/>
    <w:rsid w:val="FF7DA71E"/>
    <w:rsid w:val="FF7FB859"/>
    <w:rsid w:val="FF8F61EE"/>
    <w:rsid w:val="FFAF907D"/>
    <w:rsid w:val="FFBD4595"/>
    <w:rsid w:val="FFBFC5E0"/>
    <w:rsid w:val="FFC7A826"/>
    <w:rsid w:val="FFDE2FE0"/>
    <w:rsid w:val="FFE185CE"/>
    <w:rsid w:val="FFE76A94"/>
    <w:rsid w:val="FFE99C4D"/>
    <w:rsid w:val="FFEFC716"/>
    <w:rsid w:val="FFF15C38"/>
    <w:rsid w:val="FFF72B60"/>
    <w:rsid w:val="FFF78609"/>
    <w:rsid w:val="FFFA4088"/>
    <w:rsid w:val="FFFF0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b/>
      <w:kern w:val="44"/>
      <w:sz w:val="20"/>
      <w:lang w:val="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autoSpaceDE w:val="0"/>
      <w:autoSpaceDN w:val="0"/>
      <w:ind w:firstLine="420" w:firstLineChars="200"/>
      <w:jc w:val="left"/>
    </w:pPr>
    <w:rPr>
      <w:rFonts w:hAnsi="仿宋_GB2312" w:cs="仿宋_GB2312"/>
      <w:sz w:val="22"/>
      <w:szCs w:val="22"/>
      <w:lang w:val="zh-CN" w:bidi="zh-CN"/>
    </w:rPr>
  </w:style>
  <w:style w:type="paragraph" w:styleId="4">
    <w:name w:val="annotation text"/>
    <w:basedOn w:val="1"/>
    <w:qFormat/>
    <w:uiPriority w:val="0"/>
    <w:pPr>
      <w:jc w:val="left"/>
    </w:pPr>
  </w:style>
  <w:style w:type="paragraph" w:styleId="5">
    <w:name w:val="Body Text"/>
    <w:basedOn w:val="1"/>
    <w:qFormat/>
    <w:uiPriority w:val="0"/>
    <w:pPr>
      <w:widowControl/>
      <w:spacing w:after="120"/>
      <w:jc w:val="left"/>
    </w:pPr>
    <w:rPr>
      <w:rFonts w:ascii="Times New Roman"/>
      <w:sz w:val="20"/>
      <w:lang w:val="zh-CN"/>
    </w:rPr>
  </w:style>
  <w:style w:type="paragraph" w:styleId="6">
    <w:name w:val="Body Text Indent"/>
    <w:basedOn w:val="1"/>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文字"/>
    <w:basedOn w:val="15"/>
    <w:qFormat/>
    <w:uiPriority w:val="0"/>
    <w:pPr>
      <w:spacing w:before="25" w:beforeLines="0" w:after="25" w:afterLines="0"/>
      <w:jc w:val="left"/>
    </w:pPr>
    <w:rPr>
      <w:bCs/>
      <w:spacing w:val="10"/>
      <w:kern w:val="0"/>
      <w:sz w:val="24"/>
      <w:szCs w:val="20"/>
    </w:rPr>
  </w:style>
  <w:style w:type="paragraph" w:customStyle="1" w:styleId="15">
    <w:name w:val="正文 New New New New New New New New New New New New New New New New New New New New New New New New New New New New New New New New New New New New"/>
    <w:next w:val="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font31"/>
    <w:basedOn w:val="13"/>
    <w:qFormat/>
    <w:uiPriority w:val="0"/>
    <w:rPr>
      <w:rFonts w:hint="eastAsia" w:ascii="仿宋_GB2312" w:eastAsia="仿宋_GB2312" w:cs="仿宋_GB2312"/>
      <w:color w:val="000000"/>
      <w:sz w:val="32"/>
      <w:szCs w:val="32"/>
      <w:u w:val="none"/>
    </w:rPr>
  </w:style>
  <w:style w:type="paragraph" w:customStyle="1" w:styleId="17">
    <w:name w:val="Revision"/>
    <w:hidden/>
    <w:unhideWhenUsed/>
    <w:qFormat/>
    <w:uiPriority w:val="99"/>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4730</Words>
  <Characters>4874</Characters>
  <Lines>108</Lines>
  <Paragraphs>129</Paragraphs>
  <TotalTime>1</TotalTime>
  <ScaleCrop>false</ScaleCrop>
  <LinksUpToDate>false</LinksUpToDate>
  <CharactersWithSpaces>5084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2023-12-28T14:46:00Z</dcterms:created>
  <dc:creator>石姬</dc:creator>
  <cp:lastModifiedBy>企业用户_266805483</cp:lastModifiedBy>
  <cp:lastPrinted>2023-12-25T10:48:00Z</cp:lastPrinted>
  <dcterms:modified xsi:type="dcterms:W3CDTF">2025-11-17T11:51:13Z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1A932CFDC89646AA7395D8681A9D9C9E_43</vt:lpwstr>
  </property>
  <property fmtid="{D5CDD505-2E9C-101B-9397-08002B2CF9AE}" pid="4" name="KSOTemplateDocerSaveRecord">
    <vt:lpwstr>eyJoZGlkIjoiMjcxOWY1NDZhMDZhNGUxMzY0NDhkMzg2MzZlYjZlOWUiLCJ1c2VySWQiOiIxNjc1NTkxNTI5In0=</vt:lpwstr>
  </property>
</Properties>
</file>